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184E1">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default" w:asciiTheme="minorEastAsia" w:hAnsiTheme="minorEastAsia" w:eastAsiaTheme="minorEastAsia" w:cstheme="minorEastAsia"/>
          <w:b/>
          <w:bCs/>
          <w:color w:val="000000"/>
          <w:kern w:val="0"/>
          <w:sz w:val="48"/>
          <w:szCs w:val="48"/>
          <w:lang w:val="en-US" w:eastAsia="zh-CN" w:bidi="ar"/>
        </w:rPr>
      </w:pPr>
      <w:r>
        <w:rPr>
          <w:rFonts w:hint="eastAsia" w:asciiTheme="minorEastAsia" w:hAnsiTheme="minorEastAsia" w:eastAsiaTheme="minorEastAsia" w:cstheme="minorEastAsia"/>
          <w:b/>
          <w:bCs/>
          <w:color w:val="000000"/>
          <w:kern w:val="0"/>
          <w:sz w:val="48"/>
          <w:szCs w:val="48"/>
          <w:lang w:val="en-US" w:eastAsia="zh-CN" w:bidi="ar"/>
        </w:rPr>
        <w:drawing>
          <wp:anchor distT="0" distB="0" distL="114300" distR="114300" simplePos="0" relativeHeight="251659264" behindDoc="0" locked="0" layoutInCell="1" allowOverlap="1">
            <wp:simplePos x="0" y="0"/>
            <wp:positionH relativeFrom="column">
              <wp:posOffset>-710565</wp:posOffset>
            </wp:positionH>
            <wp:positionV relativeFrom="paragraph">
              <wp:posOffset>73025</wp:posOffset>
            </wp:positionV>
            <wp:extent cx="3307715" cy="1198245"/>
            <wp:effectExtent l="0" t="0" r="0" b="0"/>
            <wp:wrapTopAndBottom/>
            <wp:docPr id="2" name="图片 2" descr="yonkerlogo定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onkerlogo定稿_01"/>
                    <pic:cNvPicPr>
                      <a:picLocks noChangeAspect="1"/>
                    </pic:cNvPicPr>
                  </pic:nvPicPr>
                  <pic:blipFill>
                    <a:blip r:embed="rId5"/>
                    <a:srcRect l="960" t="25604" r="-960" b="23160"/>
                    <a:stretch>
                      <a:fillRect/>
                    </a:stretch>
                  </pic:blipFill>
                  <pic:spPr>
                    <a:xfrm>
                      <a:off x="0" y="0"/>
                      <a:ext cx="3307715" cy="1198245"/>
                    </a:xfrm>
                    <a:prstGeom prst="rect">
                      <a:avLst/>
                    </a:prstGeom>
                  </pic:spPr>
                </pic:pic>
              </a:graphicData>
            </a:graphic>
          </wp:anchor>
        </w:drawing>
      </w:r>
      <w:r>
        <w:rPr>
          <w:rFonts w:hint="eastAsia" w:asciiTheme="minorEastAsia" w:hAnsiTheme="minorEastAsia" w:eastAsiaTheme="minorEastAsia" w:cstheme="minorEastAsia"/>
          <w:b/>
          <w:bCs/>
          <w:color w:val="000000"/>
          <w:kern w:val="0"/>
          <w:sz w:val="48"/>
          <w:szCs w:val="48"/>
          <w:lang w:val="en-US" w:eastAsia="zh-CN" w:bidi="ar"/>
        </w:rPr>
        <w:t xml:space="preserve">  </w:t>
      </w:r>
    </w:p>
    <w:p w14:paraId="7067C5CE">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p>
    <w:p w14:paraId="6336F9E5">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p>
    <w:p w14:paraId="5D3C1E45">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p>
    <w:p w14:paraId="290C5F08">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r>
        <w:rPr>
          <w:rFonts w:hint="eastAsia" w:asciiTheme="minorEastAsia" w:hAnsiTheme="minorEastAsia" w:eastAsiaTheme="minorEastAsia" w:cstheme="minorEastAsia"/>
          <w:b/>
          <w:bCs/>
          <w:color w:val="000000"/>
          <w:kern w:val="0"/>
          <w:sz w:val="48"/>
          <w:szCs w:val="48"/>
          <w:lang w:val="en-US" w:eastAsia="zh-CN" w:bidi="ar"/>
        </w:rPr>
        <w:t>社会责任报告</w:t>
      </w:r>
    </w:p>
    <w:p w14:paraId="4BB04F6F">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r>
        <w:rPr>
          <w:rFonts w:hint="eastAsia" w:asciiTheme="minorEastAsia" w:hAnsiTheme="minorEastAsia" w:eastAsiaTheme="minorEastAsia" w:cstheme="minorEastAsia"/>
          <w:b/>
          <w:bCs/>
          <w:color w:val="000000"/>
          <w:kern w:val="0"/>
          <w:sz w:val="48"/>
          <w:szCs w:val="48"/>
          <w:lang w:val="en-US" w:eastAsia="zh-CN" w:bidi="ar"/>
        </w:rPr>
        <w:t>（202</w:t>
      </w:r>
      <w:r>
        <w:rPr>
          <w:rFonts w:hint="eastAsia" w:asciiTheme="minorEastAsia" w:hAnsiTheme="minorEastAsia" w:cstheme="minorEastAsia"/>
          <w:b/>
          <w:bCs/>
          <w:color w:val="000000"/>
          <w:kern w:val="0"/>
          <w:sz w:val="48"/>
          <w:szCs w:val="48"/>
          <w:lang w:val="en-US" w:eastAsia="zh-CN" w:bidi="ar"/>
        </w:rPr>
        <w:t>4</w:t>
      </w:r>
      <w:r>
        <w:rPr>
          <w:rFonts w:hint="eastAsia" w:asciiTheme="minorEastAsia" w:hAnsiTheme="minorEastAsia" w:eastAsiaTheme="minorEastAsia" w:cstheme="minorEastAsia"/>
          <w:b/>
          <w:bCs/>
          <w:color w:val="000000"/>
          <w:kern w:val="0"/>
          <w:sz w:val="48"/>
          <w:szCs w:val="48"/>
          <w:lang w:val="en-US" w:eastAsia="zh-CN" w:bidi="ar"/>
        </w:rPr>
        <w:t>年度）</w:t>
      </w:r>
    </w:p>
    <w:p w14:paraId="1E4B0341">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p>
    <w:p w14:paraId="5D670C0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p>
    <w:p w14:paraId="58D8C10D">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p>
    <w:p w14:paraId="5B910D94">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p>
    <w:p w14:paraId="683D0A0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bookmarkStart w:id="34" w:name="_GoBack"/>
      <w:bookmarkEnd w:id="34"/>
    </w:p>
    <w:p w14:paraId="72F313D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p>
    <w:p w14:paraId="0A8CB753">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p>
    <w:p w14:paraId="36E2D74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40"/>
          <w:szCs w:val="40"/>
          <w:lang w:val="en-US" w:eastAsia="zh-CN"/>
        </w:rPr>
      </w:pPr>
      <w:r>
        <w:rPr>
          <w:rFonts w:hint="eastAsia" w:ascii="宋体" w:hAnsi="宋体" w:eastAsia="宋体" w:cs="宋体"/>
          <w:b/>
          <w:bCs/>
          <w:sz w:val="40"/>
          <w:szCs w:val="40"/>
          <w:lang w:val="en-US" w:eastAsia="zh-CN"/>
        </w:rPr>
        <w:t>徐州市永康电子科技有限公司</w:t>
      </w:r>
    </w:p>
    <w:p w14:paraId="578C29ED">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b/>
          <w:bCs/>
          <w:sz w:val="40"/>
          <w:szCs w:val="40"/>
          <w:lang w:val="en-US" w:eastAsia="zh-CN"/>
        </w:rPr>
      </w:pPr>
      <w:r>
        <w:rPr>
          <w:rFonts w:hint="eastAsia" w:ascii="宋体" w:hAnsi="宋体" w:eastAsia="宋体" w:cs="宋体"/>
          <w:b/>
          <w:bCs/>
          <w:sz w:val="40"/>
          <w:szCs w:val="40"/>
          <w:lang w:val="en-US" w:eastAsia="zh-CN"/>
        </w:rPr>
        <w:t>2025年</w:t>
      </w:r>
      <w:r>
        <w:rPr>
          <w:rFonts w:hint="eastAsia" w:ascii="宋体" w:hAnsi="宋体" w:cs="宋体"/>
          <w:b/>
          <w:bCs/>
          <w:sz w:val="40"/>
          <w:szCs w:val="40"/>
          <w:lang w:val="en-US" w:eastAsia="zh-CN"/>
        </w:rPr>
        <w:t>3月</w:t>
      </w:r>
    </w:p>
    <w:p w14:paraId="33372526">
      <w:pPr>
        <w:rPr>
          <w:rFonts w:hint="eastAsia" w:ascii="宋体" w:hAnsi="宋体" w:eastAsia="宋体" w:cs="宋体"/>
          <w:b/>
          <w:bCs/>
          <w:sz w:val="40"/>
          <w:szCs w:val="40"/>
        </w:rPr>
      </w:pPr>
      <w:r>
        <w:rPr>
          <w:rFonts w:hint="eastAsia" w:ascii="宋体" w:hAnsi="宋体" w:eastAsia="宋体" w:cs="宋体"/>
          <w:b/>
          <w:bCs/>
          <w:sz w:val="40"/>
          <w:szCs w:val="40"/>
        </w:rPr>
        <w:br w:type="page"/>
      </w:r>
    </w:p>
    <w:p w14:paraId="27348F2A">
      <w:pPr>
        <w:pStyle w:val="2"/>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0" w:name="_Toc18621"/>
      <w:r>
        <w:rPr>
          <w:rFonts w:hint="eastAsia"/>
          <w:b/>
          <w:lang w:val="en-US" w:eastAsia="zh-CN"/>
        </w:rPr>
        <w:t>报告概述</w:t>
      </w:r>
      <w:bookmarkEnd w:id="0"/>
    </w:p>
    <w:p w14:paraId="516A320C">
      <w:pPr>
        <w:keepNext w:val="0"/>
        <w:keepLines w:val="0"/>
        <w:pageBreakBefore w:val="0"/>
        <w:widowControl w:val="0"/>
        <w:suppressLineNumbers w:val="0"/>
        <w:kinsoku/>
        <w:wordWrap/>
        <w:overflowPunct/>
        <w:topLinePunct w:val="0"/>
        <w:autoSpaceDE/>
        <w:autoSpaceDN/>
        <w:bidi w:val="0"/>
        <w:adjustRightInd/>
        <w:snapToGrid/>
        <w:ind w:left="0" w:leftChars="0" w:firstLine="560" w:firstLineChars="20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 xml:space="preserve">本报告是徐州市永康电子科技有限公司对外公开发布的《社会责任报告》。编制过程严格参照 GB/T 39604-2020《社会责任管理体系要求及使用指南》、GRI（全球报告倡议组织）《可持续发展报告指南》（G3 版）以及中国社科院《中国企业社会责任报告编写指南》，结合公司对社会责任的独特理解与具体实践，全面呈现公司在 </w:t>
      </w:r>
      <w:r>
        <w:rPr>
          <w:rFonts w:hint="eastAsia" w:ascii="宋体" w:hAnsi="宋体" w:cs="宋体"/>
          <w:b w:val="0"/>
          <w:bCs w:val="0"/>
          <w:kern w:val="2"/>
          <w:sz w:val="28"/>
          <w:szCs w:val="28"/>
          <w:lang w:val="en-US" w:eastAsia="zh-CN" w:bidi="ar-SA"/>
        </w:rPr>
        <w:t>2024</w:t>
      </w:r>
      <w:r>
        <w:rPr>
          <w:rFonts w:hint="eastAsia" w:ascii="宋体" w:hAnsi="宋体" w:eastAsia="宋体" w:cs="宋体"/>
          <w:b w:val="0"/>
          <w:bCs w:val="0"/>
          <w:kern w:val="2"/>
          <w:sz w:val="28"/>
          <w:szCs w:val="28"/>
          <w:lang w:val="en-US" w:eastAsia="zh-CN" w:bidi="ar-SA"/>
        </w:rPr>
        <w:t xml:space="preserve"> 年度社会责任领域的理念、举措及成果。</w:t>
      </w:r>
    </w:p>
    <w:p w14:paraId="238A7FD9">
      <w:pPr>
        <w:pStyle w:val="2"/>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 w:name="_Toc3928"/>
      <w:r>
        <w:rPr>
          <w:rFonts w:hint="eastAsia"/>
          <w:b/>
          <w:lang w:val="en-US" w:eastAsia="zh-CN"/>
        </w:rPr>
        <w:t>报告范围</w:t>
      </w:r>
      <w:bookmarkEnd w:id="1"/>
    </w:p>
    <w:p w14:paraId="59284D3F">
      <w:pPr>
        <w:keepNext w:val="0"/>
        <w:keepLines w:val="0"/>
        <w:pageBreakBefore w:val="0"/>
        <w:widowControl w:val="0"/>
        <w:suppressLineNumbers w:val="0"/>
        <w:kinsoku/>
        <w:wordWrap/>
        <w:overflowPunct/>
        <w:topLinePunct w:val="0"/>
        <w:autoSpaceDE/>
        <w:autoSpaceDN/>
        <w:bidi w:val="0"/>
        <w:adjustRightInd/>
        <w:snapToGrid/>
        <w:ind w:left="0" w:leftChars="0" w:firstLine="560" w:firstLineChars="20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除非有特殊说明，本报告主要描述202</w:t>
      </w:r>
      <w:r>
        <w:rPr>
          <w:rFonts w:hint="eastAsia" w:ascii="宋体" w:hAnsi="宋体" w:cs="宋体"/>
          <w:b w:val="0"/>
          <w:bCs w:val="0"/>
          <w:kern w:val="2"/>
          <w:sz w:val="28"/>
          <w:szCs w:val="28"/>
          <w:lang w:val="en-US" w:eastAsia="zh-CN" w:bidi="ar-SA"/>
        </w:rPr>
        <w:t>4</w:t>
      </w:r>
      <w:r>
        <w:rPr>
          <w:rFonts w:hint="eastAsia" w:ascii="宋体" w:hAnsi="宋体" w:eastAsia="宋体" w:cs="宋体"/>
          <w:b w:val="0"/>
          <w:bCs w:val="0"/>
          <w:kern w:val="2"/>
          <w:sz w:val="28"/>
          <w:szCs w:val="28"/>
          <w:lang w:val="en-US" w:eastAsia="zh-CN" w:bidi="ar-SA"/>
        </w:rPr>
        <w:t>年1月1日至202</w:t>
      </w:r>
      <w:r>
        <w:rPr>
          <w:rFonts w:hint="eastAsia" w:ascii="宋体" w:hAnsi="宋体" w:cs="宋体"/>
          <w:b w:val="0"/>
          <w:bCs w:val="0"/>
          <w:kern w:val="2"/>
          <w:sz w:val="28"/>
          <w:szCs w:val="28"/>
          <w:lang w:val="en-US" w:eastAsia="zh-CN" w:bidi="ar-SA"/>
        </w:rPr>
        <w:t>4</w:t>
      </w:r>
      <w:r>
        <w:rPr>
          <w:rFonts w:hint="eastAsia" w:ascii="宋体" w:hAnsi="宋体" w:eastAsia="宋体" w:cs="宋体"/>
          <w:b w:val="0"/>
          <w:bCs w:val="0"/>
          <w:kern w:val="2"/>
          <w:sz w:val="28"/>
          <w:szCs w:val="28"/>
          <w:lang w:val="en-US" w:eastAsia="zh-CN" w:bidi="ar-SA"/>
        </w:rPr>
        <w:t>年12月31日期间，徐州市永康电子科技有限公司在公司运营、内控管理、发展规划、供应链、人才建设等方面的工作，报告内容涵盖了在营业务。</w:t>
      </w:r>
    </w:p>
    <w:p w14:paraId="1F0313C5">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徐州市永康电子科技有限公司</w:t>
      </w:r>
    </w:p>
    <w:p w14:paraId="54FC7B2F">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地址：徐州市经济开发区软件园明阳广场C1楼12层</w:t>
      </w:r>
    </w:p>
    <w:p w14:paraId="214A2147">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电话：0516-68910110</w:t>
      </w:r>
    </w:p>
    <w:p w14:paraId="7360D224">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kern w:val="2"/>
          <w:sz w:val="28"/>
          <w:szCs w:val="28"/>
          <w:lang w:val="en-US" w:eastAsia="zh-CN" w:bidi="ar-SA"/>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kern w:val="2"/>
          <w:sz w:val="28"/>
          <w:szCs w:val="28"/>
          <w:lang w:val="en-US" w:eastAsia="zh-CN" w:bidi="ar-SA"/>
        </w:rPr>
        <w:t>传真：0516-68910110</w:t>
      </w:r>
    </w:p>
    <w:p w14:paraId="20B3F868">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kern w:val="2"/>
          <w:sz w:val="28"/>
          <w:szCs w:val="28"/>
          <w:lang w:val="en-US" w:eastAsia="zh-CN" w:bidi="ar-SA"/>
        </w:rPr>
      </w:pPr>
    </w:p>
    <w:sdt>
      <w:sdtPr>
        <w:rPr>
          <w:rFonts w:ascii="宋体" w:hAnsi="宋体" w:eastAsia="宋体" w:cstheme="minorBidi"/>
          <w:kern w:val="2"/>
          <w:sz w:val="21"/>
          <w:szCs w:val="24"/>
          <w:lang w:val="en-US" w:eastAsia="zh-CN" w:bidi="ar-SA"/>
        </w:rPr>
        <w:id w:val="147473175"/>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0D3FB61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sz w:val="28"/>
              <w:szCs w:val="28"/>
            </w:rPr>
          </w:pPr>
          <w:r>
            <w:rPr>
              <w:rFonts w:ascii="宋体" w:hAnsi="宋体" w:eastAsia="宋体"/>
              <w:sz w:val="28"/>
              <w:szCs w:val="28"/>
            </w:rPr>
            <w:t>目录</w:t>
          </w:r>
        </w:p>
        <w:p w14:paraId="59E68780">
          <w:pPr>
            <w:pStyle w:val="8"/>
            <w:tabs>
              <w:tab w:val="right" w:leader="dot" w:pos="8306"/>
            </w:tabs>
          </w:pPr>
          <w:r>
            <w:rPr>
              <w:sz w:val="28"/>
              <w:szCs w:val="28"/>
            </w:rPr>
            <w:fldChar w:fldCharType="begin"/>
          </w:r>
          <w:r>
            <w:rPr>
              <w:sz w:val="28"/>
              <w:szCs w:val="28"/>
            </w:rPr>
            <w:instrText xml:space="preserve">TOC \o "1-2" \h \u </w:instrText>
          </w:r>
          <w:r>
            <w:rPr>
              <w:sz w:val="28"/>
              <w:szCs w:val="28"/>
            </w:rPr>
            <w:fldChar w:fldCharType="separate"/>
          </w:r>
          <w:r>
            <w:rPr>
              <w:szCs w:val="28"/>
            </w:rPr>
            <w:fldChar w:fldCharType="begin"/>
          </w:r>
          <w:r>
            <w:rPr>
              <w:szCs w:val="28"/>
            </w:rPr>
            <w:instrText xml:space="preserve"> HYPERLINK \l _Toc18621 </w:instrText>
          </w:r>
          <w:r>
            <w:rPr>
              <w:szCs w:val="28"/>
            </w:rPr>
            <w:fldChar w:fldCharType="separate"/>
          </w:r>
          <w:r>
            <w:rPr>
              <w:rFonts w:hint="eastAsia"/>
              <w:lang w:val="en-US" w:eastAsia="zh-CN"/>
            </w:rPr>
            <w:t>报告概述</w:t>
          </w:r>
          <w:r>
            <w:tab/>
          </w:r>
          <w:r>
            <w:rPr>
              <w:szCs w:val="28"/>
            </w:rPr>
            <w:fldChar w:fldCharType="end"/>
          </w:r>
        </w:p>
        <w:p w14:paraId="2B6732CF">
          <w:pPr>
            <w:pStyle w:val="8"/>
            <w:tabs>
              <w:tab w:val="right" w:leader="dot" w:pos="8306"/>
            </w:tabs>
          </w:pPr>
          <w:r>
            <w:rPr>
              <w:szCs w:val="28"/>
            </w:rPr>
            <w:fldChar w:fldCharType="begin"/>
          </w:r>
          <w:r>
            <w:rPr>
              <w:szCs w:val="28"/>
            </w:rPr>
            <w:instrText xml:space="preserve"> HYPERLINK \l _Toc3928 </w:instrText>
          </w:r>
          <w:r>
            <w:rPr>
              <w:szCs w:val="28"/>
            </w:rPr>
            <w:fldChar w:fldCharType="separate"/>
          </w:r>
          <w:r>
            <w:rPr>
              <w:rFonts w:hint="eastAsia"/>
              <w:lang w:val="en-US" w:eastAsia="zh-CN"/>
            </w:rPr>
            <w:t>报告范围</w:t>
          </w:r>
          <w:r>
            <w:tab/>
          </w:r>
          <w:r>
            <w:rPr>
              <w:szCs w:val="28"/>
            </w:rPr>
            <w:fldChar w:fldCharType="end"/>
          </w:r>
        </w:p>
        <w:p w14:paraId="070A2CC2">
          <w:pPr>
            <w:pStyle w:val="8"/>
            <w:tabs>
              <w:tab w:val="right" w:leader="dot" w:pos="8306"/>
            </w:tabs>
          </w:pPr>
          <w:r>
            <w:rPr>
              <w:szCs w:val="28"/>
            </w:rPr>
            <w:fldChar w:fldCharType="begin"/>
          </w:r>
          <w:r>
            <w:rPr>
              <w:szCs w:val="28"/>
            </w:rPr>
            <w:instrText xml:space="preserve"> HYPERLINK \l _Toc10246 </w:instrText>
          </w:r>
          <w:r>
            <w:rPr>
              <w:szCs w:val="28"/>
            </w:rPr>
            <w:fldChar w:fldCharType="separate"/>
          </w:r>
          <w:r>
            <w:rPr>
              <w:rFonts w:hint="eastAsia"/>
              <w:lang w:val="en-US" w:eastAsia="zh-CN"/>
            </w:rPr>
            <w:t>一、</w:t>
          </w:r>
          <w:r>
            <w:rPr>
              <w:rFonts w:hint="default"/>
              <w:lang w:val="en-US" w:eastAsia="zh-CN"/>
            </w:rPr>
            <w:t>组织所处环境与社会责任议题识别</w:t>
          </w:r>
          <w:r>
            <w:tab/>
          </w:r>
          <w:r>
            <w:fldChar w:fldCharType="begin"/>
          </w:r>
          <w:r>
            <w:instrText xml:space="preserve"> PAGEREF _Toc10246 \h </w:instrText>
          </w:r>
          <w:r>
            <w:fldChar w:fldCharType="separate"/>
          </w:r>
          <w:r>
            <w:t>1</w:t>
          </w:r>
          <w:r>
            <w:fldChar w:fldCharType="end"/>
          </w:r>
          <w:r>
            <w:rPr>
              <w:szCs w:val="28"/>
            </w:rPr>
            <w:fldChar w:fldCharType="end"/>
          </w:r>
        </w:p>
        <w:p w14:paraId="3D463B2E">
          <w:pPr>
            <w:pStyle w:val="9"/>
            <w:tabs>
              <w:tab w:val="right" w:leader="dot" w:pos="8306"/>
            </w:tabs>
          </w:pPr>
          <w:r>
            <w:rPr>
              <w:szCs w:val="28"/>
            </w:rPr>
            <w:fldChar w:fldCharType="begin"/>
          </w:r>
          <w:r>
            <w:rPr>
              <w:szCs w:val="28"/>
            </w:rPr>
            <w:instrText xml:space="preserve"> HYPERLINK \l _Toc29677 </w:instrText>
          </w:r>
          <w:r>
            <w:rPr>
              <w:szCs w:val="28"/>
            </w:rPr>
            <w:fldChar w:fldCharType="separate"/>
          </w:r>
          <w:r>
            <w:rPr>
              <w:rFonts w:hint="default"/>
              <w:lang w:val="en-US" w:eastAsia="zh-CN"/>
            </w:rPr>
            <w:t>1.1 组织特征与社会责任关联</w:t>
          </w:r>
          <w:r>
            <w:tab/>
          </w:r>
          <w:r>
            <w:fldChar w:fldCharType="begin"/>
          </w:r>
          <w:r>
            <w:instrText xml:space="preserve"> PAGEREF _Toc29677 \h </w:instrText>
          </w:r>
          <w:r>
            <w:fldChar w:fldCharType="separate"/>
          </w:r>
          <w:r>
            <w:t>1</w:t>
          </w:r>
          <w:r>
            <w:fldChar w:fldCharType="end"/>
          </w:r>
          <w:r>
            <w:rPr>
              <w:szCs w:val="28"/>
            </w:rPr>
            <w:fldChar w:fldCharType="end"/>
          </w:r>
        </w:p>
        <w:p w14:paraId="5EF5B54F">
          <w:pPr>
            <w:pStyle w:val="9"/>
            <w:tabs>
              <w:tab w:val="right" w:leader="dot" w:pos="8306"/>
            </w:tabs>
          </w:pPr>
          <w:r>
            <w:rPr>
              <w:szCs w:val="28"/>
            </w:rPr>
            <w:fldChar w:fldCharType="begin"/>
          </w:r>
          <w:r>
            <w:rPr>
              <w:szCs w:val="28"/>
            </w:rPr>
            <w:instrText xml:space="preserve"> HYPERLINK \l _Toc31768 </w:instrText>
          </w:r>
          <w:r>
            <w:rPr>
              <w:szCs w:val="28"/>
            </w:rPr>
            <w:fldChar w:fldCharType="separate"/>
          </w:r>
          <w:r>
            <w:rPr>
              <w:rFonts w:hint="default"/>
              <w:lang w:val="en-US" w:eastAsia="zh-CN"/>
            </w:rPr>
            <w:t>1.2 关键社会责任议题辨识</w:t>
          </w:r>
          <w:r>
            <w:tab/>
          </w:r>
          <w:r>
            <w:fldChar w:fldCharType="begin"/>
          </w:r>
          <w:r>
            <w:instrText xml:space="preserve"> PAGEREF _Toc31768 \h </w:instrText>
          </w:r>
          <w:r>
            <w:fldChar w:fldCharType="separate"/>
          </w:r>
          <w:r>
            <w:t>2</w:t>
          </w:r>
          <w:r>
            <w:fldChar w:fldCharType="end"/>
          </w:r>
          <w:r>
            <w:rPr>
              <w:szCs w:val="28"/>
            </w:rPr>
            <w:fldChar w:fldCharType="end"/>
          </w:r>
        </w:p>
        <w:p w14:paraId="589949CD">
          <w:pPr>
            <w:pStyle w:val="9"/>
            <w:tabs>
              <w:tab w:val="right" w:leader="dot" w:pos="8306"/>
            </w:tabs>
          </w:pPr>
          <w:r>
            <w:rPr>
              <w:szCs w:val="28"/>
            </w:rPr>
            <w:fldChar w:fldCharType="begin"/>
          </w:r>
          <w:r>
            <w:rPr>
              <w:szCs w:val="28"/>
            </w:rPr>
            <w:instrText xml:space="preserve"> HYPERLINK \l _Toc22243 </w:instrText>
          </w:r>
          <w:r>
            <w:rPr>
              <w:szCs w:val="28"/>
            </w:rPr>
            <w:fldChar w:fldCharType="separate"/>
          </w:r>
          <w:r>
            <w:rPr>
              <w:rFonts w:hint="default"/>
              <w:lang w:val="en-US" w:eastAsia="zh-CN"/>
            </w:rPr>
            <w:t>1.3 确定社会责任管理体系范围</w:t>
          </w:r>
          <w:r>
            <w:tab/>
          </w:r>
          <w:r>
            <w:fldChar w:fldCharType="begin"/>
          </w:r>
          <w:r>
            <w:instrText xml:space="preserve"> PAGEREF _Toc22243 \h </w:instrText>
          </w:r>
          <w:r>
            <w:fldChar w:fldCharType="separate"/>
          </w:r>
          <w:r>
            <w:t>3</w:t>
          </w:r>
          <w:r>
            <w:fldChar w:fldCharType="end"/>
          </w:r>
          <w:r>
            <w:rPr>
              <w:szCs w:val="28"/>
            </w:rPr>
            <w:fldChar w:fldCharType="end"/>
          </w:r>
        </w:p>
        <w:p w14:paraId="2AA15051">
          <w:pPr>
            <w:pStyle w:val="8"/>
            <w:tabs>
              <w:tab w:val="right" w:leader="dot" w:pos="8306"/>
            </w:tabs>
          </w:pPr>
          <w:r>
            <w:rPr>
              <w:szCs w:val="28"/>
            </w:rPr>
            <w:fldChar w:fldCharType="begin"/>
          </w:r>
          <w:r>
            <w:rPr>
              <w:szCs w:val="28"/>
            </w:rPr>
            <w:instrText xml:space="preserve"> HYPERLINK \l _Toc1996 </w:instrText>
          </w:r>
          <w:r>
            <w:rPr>
              <w:szCs w:val="28"/>
            </w:rPr>
            <w:fldChar w:fldCharType="separate"/>
          </w:r>
          <w:r>
            <w:rPr>
              <w:rFonts w:hint="eastAsia"/>
              <w:lang w:val="en-US" w:eastAsia="zh-CN"/>
            </w:rPr>
            <w:t>二、</w:t>
          </w:r>
          <w:r>
            <w:rPr>
              <w:rFonts w:hint="default"/>
              <w:lang w:val="en-US" w:eastAsia="zh-CN"/>
            </w:rPr>
            <w:t>领导作用与治理架构</w:t>
          </w:r>
          <w:r>
            <w:tab/>
          </w:r>
          <w:r>
            <w:fldChar w:fldCharType="begin"/>
          </w:r>
          <w:r>
            <w:instrText xml:space="preserve"> PAGEREF _Toc1996 \h </w:instrText>
          </w:r>
          <w:r>
            <w:fldChar w:fldCharType="separate"/>
          </w:r>
          <w:r>
            <w:t>3</w:t>
          </w:r>
          <w:r>
            <w:fldChar w:fldCharType="end"/>
          </w:r>
          <w:r>
            <w:rPr>
              <w:szCs w:val="28"/>
            </w:rPr>
            <w:fldChar w:fldCharType="end"/>
          </w:r>
        </w:p>
        <w:p w14:paraId="1D50478E">
          <w:pPr>
            <w:pStyle w:val="9"/>
            <w:tabs>
              <w:tab w:val="right" w:leader="dot" w:pos="8306"/>
            </w:tabs>
          </w:pPr>
          <w:r>
            <w:rPr>
              <w:szCs w:val="28"/>
            </w:rPr>
            <w:fldChar w:fldCharType="begin"/>
          </w:r>
          <w:r>
            <w:rPr>
              <w:szCs w:val="28"/>
            </w:rPr>
            <w:instrText xml:space="preserve"> HYPERLINK \l _Toc8102 </w:instrText>
          </w:r>
          <w:r>
            <w:rPr>
              <w:szCs w:val="28"/>
            </w:rPr>
            <w:fldChar w:fldCharType="separate"/>
          </w:r>
          <w:r>
            <w:rPr>
              <w:rFonts w:hint="default"/>
              <w:lang w:val="en-US" w:eastAsia="zh-CN"/>
            </w:rPr>
            <w:t>2.1 领导承诺与社会责任方针</w:t>
          </w:r>
          <w:r>
            <w:tab/>
          </w:r>
          <w:r>
            <w:fldChar w:fldCharType="begin"/>
          </w:r>
          <w:r>
            <w:instrText xml:space="preserve"> PAGEREF _Toc8102 \h </w:instrText>
          </w:r>
          <w:r>
            <w:fldChar w:fldCharType="separate"/>
          </w:r>
          <w:r>
            <w:t>3</w:t>
          </w:r>
          <w:r>
            <w:fldChar w:fldCharType="end"/>
          </w:r>
          <w:r>
            <w:rPr>
              <w:szCs w:val="28"/>
            </w:rPr>
            <w:fldChar w:fldCharType="end"/>
          </w:r>
        </w:p>
        <w:p w14:paraId="7A64C321">
          <w:pPr>
            <w:pStyle w:val="9"/>
            <w:tabs>
              <w:tab w:val="right" w:leader="dot" w:pos="8306"/>
            </w:tabs>
          </w:pPr>
          <w:r>
            <w:rPr>
              <w:szCs w:val="28"/>
            </w:rPr>
            <w:fldChar w:fldCharType="begin"/>
          </w:r>
          <w:r>
            <w:rPr>
              <w:szCs w:val="28"/>
            </w:rPr>
            <w:instrText xml:space="preserve"> HYPERLINK \l _Toc19718 </w:instrText>
          </w:r>
          <w:r>
            <w:rPr>
              <w:szCs w:val="28"/>
            </w:rPr>
            <w:fldChar w:fldCharType="separate"/>
          </w:r>
          <w:r>
            <w:rPr>
              <w:rFonts w:hint="default"/>
              <w:lang w:val="en-US" w:eastAsia="zh-CN"/>
            </w:rPr>
            <w:t>2.2 组织架构与职责分工</w:t>
          </w:r>
          <w:r>
            <w:tab/>
          </w:r>
          <w:r>
            <w:fldChar w:fldCharType="begin"/>
          </w:r>
          <w:r>
            <w:instrText xml:space="preserve"> PAGEREF _Toc19718 \h </w:instrText>
          </w:r>
          <w:r>
            <w:fldChar w:fldCharType="separate"/>
          </w:r>
          <w:r>
            <w:t>4</w:t>
          </w:r>
          <w:r>
            <w:fldChar w:fldCharType="end"/>
          </w:r>
          <w:r>
            <w:rPr>
              <w:szCs w:val="28"/>
            </w:rPr>
            <w:fldChar w:fldCharType="end"/>
          </w:r>
        </w:p>
        <w:p w14:paraId="6F213445">
          <w:pPr>
            <w:pStyle w:val="8"/>
            <w:tabs>
              <w:tab w:val="right" w:leader="dot" w:pos="8306"/>
            </w:tabs>
          </w:pPr>
          <w:r>
            <w:rPr>
              <w:szCs w:val="28"/>
            </w:rPr>
            <w:fldChar w:fldCharType="begin"/>
          </w:r>
          <w:r>
            <w:rPr>
              <w:szCs w:val="28"/>
            </w:rPr>
            <w:instrText xml:space="preserve"> HYPERLINK \l _Toc18440 </w:instrText>
          </w:r>
          <w:r>
            <w:rPr>
              <w:szCs w:val="28"/>
            </w:rPr>
            <w:fldChar w:fldCharType="separate"/>
          </w:r>
          <w:r>
            <w:rPr>
              <w:rFonts w:hint="eastAsia"/>
              <w:lang w:val="en-US" w:eastAsia="zh-CN"/>
            </w:rPr>
            <w:t>三、 经营状况与可持续发展</w:t>
          </w:r>
          <w:r>
            <w:tab/>
          </w:r>
          <w:r>
            <w:fldChar w:fldCharType="begin"/>
          </w:r>
          <w:r>
            <w:instrText xml:space="preserve"> PAGEREF _Toc18440 \h </w:instrText>
          </w:r>
          <w:r>
            <w:fldChar w:fldCharType="separate"/>
          </w:r>
          <w:r>
            <w:t>4</w:t>
          </w:r>
          <w:r>
            <w:fldChar w:fldCharType="end"/>
          </w:r>
          <w:r>
            <w:rPr>
              <w:szCs w:val="28"/>
            </w:rPr>
            <w:fldChar w:fldCharType="end"/>
          </w:r>
        </w:p>
        <w:p w14:paraId="341D2F19">
          <w:pPr>
            <w:pStyle w:val="9"/>
            <w:tabs>
              <w:tab w:val="right" w:leader="dot" w:pos="8306"/>
            </w:tabs>
          </w:pPr>
          <w:r>
            <w:rPr>
              <w:szCs w:val="28"/>
            </w:rPr>
            <w:fldChar w:fldCharType="begin"/>
          </w:r>
          <w:r>
            <w:rPr>
              <w:szCs w:val="28"/>
            </w:rPr>
            <w:instrText xml:space="preserve"> HYPERLINK \l _Toc26577 </w:instrText>
          </w:r>
          <w:r>
            <w:rPr>
              <w:szCs w:val="28"/>
            </w:rPr>
            <w:fldChar w:fldCharType="separate"/>
          </w:r>
          <w:r>
            <w:rPr>
              <w:rFonts w:hint="eastAsia"/>
              <w:lang w:val="en-US" w:eastAsia="zh-CN"/>
            </w:rPr>
            <w:t>3.1 经营业绩概况</w:t>
          </w:r>
          <w:r>
            <w:tab/>
          </w:r>
          <w:r>
            <w:fldChar w:fldCharType="begin"/>
          </w:r>
          <w:r>
            <w:instrText xml:space="preserve"> PAGEREF _Toc26577 \h </w:instrText>
          </w:r>
          <w:r>
            <w:fldChar w:fldCharType="separate"/>
          </w:r>
          <w:r>
            <w:t>5</w:t>
          </w:r>
          <w:r>
            <w:fldChar w:fldCharType="end"/>
          </w:r>
          <w:r>
            <w:rPr>
              <w:szCs w:val="28"/>
            </w:rPr>
            <w:fldChar w:fldCharType="end"/>
          </w:r>
        </w:p>
        <w:p w14:paraId="6356A94F">
          <w:pPr>
            <w:pStyle w:val="9"/>
            <w:tabs>
              <w:tab w:val="right" w:leader="dot" w:pos="8306"/>
            </w:tabs>
          </w:pPr>
          <w:r>
            <w:rPr>
              <w:szCs w:val="28"/>
            </w:rPr>
            <w:fldChar w:fldCharType="begin"/>
          </w:r>
          <w:r>
            <w:rPr>
              <w:szCs w:val="28"/>
            </w:rPr>
            <w:instrText xml:space="preserve"> HYPERLINK \l _Toc18299 </w:instrText>
          </w:r>
          <w:r>
            <w:rPr>
              <w:szCs w:val="28"/>
            </w:rPr>
            <w:fldChar w:fldCharType="separate"/>
          </w:r>
          <w:r>
            <w:rPr>
              <w:rFonts w:hint="eastAsia"/>
              <w:lang w:val="en-US" w:eastAsia="zh-CN"/>
            </w:rPr>
            <w:t>3.2研发与创新投入</w:t>
          </w:r>
          <w:r>
            <w:tab/>
          </w:r>
          <w:r>
            <w:fldChar w:fldCharType="begin"/>
          </w:r>
          <w:r>
            <w:instrText xml:space="preserve"> PAGEREF _Toc18299 \h </w:instrText>
          </w:r>
          <w:r>
            <w:fldChar w:fldCharType="separate"/>
          </w:r>
          <w:r>
            <w:t>5</w:t>
          </w:r>
          <w:r>
            <w:fldChar w:fldCharType="end"/>
          </w:r>
          <w:r>
            <w:rPr>
              <w:szCs w:val="28"/>
            </w:rPr>
            <w:fldChar w:fldCharType="end"/>
          </w:r>
        </w:p>
        <w:p w14:paraId="5250F913">
          <w:pPr>
            <w:pStyle w:val="9"/>
            <w:tabs>
              <w:tab w:val="right" w:leader="dot" w:pos="8306"/>
            </w:tabs>
          </w:pPr>
          <w:r>
            <w:rPr>
              <w:szCs w:val="28"/>
            </w:rPr>
            <w:fldChar w:fldCharType="begin"/>
          </w:r>
          <w:r>
            <w:rPr>
              <w:szCs w:val="28"/>
            </w:rPr>
            <w:instrText xml:space="preserve"> HYPERLINK \l _Toc22297 </w:instrText>
          </w:r>
          <w:r>
            <w:rPr>
              <w:szCs w:val="28"/>
            </w:rPr>
            <w:fldChar w:fldCharType="separate"/>
          </w:r>
          <w:r>
            <w:rPr>
              <w:rFonts w:hint="eastAsia"/>
              <w:lang w:val="en-US" w:eastAsia="zh-CN"/>
            </w:rPr>
            <w:t>3.3 可持续发展战略</w:t>
          </w:r>
          <w:r>
            <w:tab/>
          </w:r>
          <w:r>
            <w:fldChar w:fldCharType="begin"/>
          </w:r>
          <w:r>
            <w:instrText xml:space="preserve"> PAGEREF _Toc22297 \h </w:instrText>
          </w:r>
          <w:r>
            <w:fldChar w:fldCharType="separate"/>
          </w:r>
          <w:r>
            <w:t>5</w:t>
          </w:r>
          <w:r>
            <w:fldChar w:fldCharType="end"/>
          </w:r>
          <w:r>
            <w:rPr>
              <w:szCs w:val="28"/>
            </w:rPr>
            <w:fldChar w:fldCharType="end"/>
          </w:r>
        </w:p>
        <w:p w14:paraId="3458A1C6">
          <w:pPr>
            <w:pStyle w:val="8"/>
            <w:tabs>
              <w:tab w:val="right" w:leader="dot" w:pos="8306"/>
            </w:tabs>
          </w:pPr>
          <w:r>
            <w:rPr>
              <w:szCs w:val="28"/>
            </w:rPr>
            <w:fldChar w:fldCharType="begin"/>
          </w:r>
          <w:r>
            <w:rPr>
              <w:szCs w:val="28"/>
            </w:rPr>
            <w:instrText xml:space="preserve"> HYPERLINK \l _Toc6496 </w:instrText>
          </w:r>
          <w:r>
            <w:rPr>
              <w:szCs w:val="28"/>
            </w:rPr>
            <w:fldChar w:fldCharType="separate"/>
          </w:r>
          <w:r>
            <w:rPr>
              <w:rFonts w:hint="eastAsia"/>
              <w:lang w:val="en-US" w:eastAsia="zh-CN"/>
            </w:rPr>
            <w:t>四、技术创新与知识产权管理</w:t>
          </w:r>
          <w:r>
            <w:tab/>
          </w:r>
          <w:r>
            <w:fldChar w:fldCharType="begin"/>
          </w:r>
          <w:r>
            <w:instrText xml:space="preserve"> PAGEREF _Toc6496 \h </w:instrText>
          </w:r>
          <w:r>
            <w:fldChar w:fldCharType="separate"/>
          </w:r>
          <w:r>
            <w:t>6</w:t>
          </w:r>
          <w:r>
            <w:fldChar w:fldCharType="end"/>
          </w:r>
          <w:r>
            <w:rPr>
              <w:szCs w:val="28"/>
            </w:rPr>
            <w:fldChar w:fldCharType="end"/>
          </w:r>
        </w:p>
        <w:p w14:paraId="6EF1533A">
          <w:pPr>
            <w:pStyle w:val="9"/>
            <w:tabs>
              <w:tab w:val="right" w:leader="dot" w:pos="8306"/>
            </w:tabs>
          </w:pPr>
          <w:r>
            <w:rPr>
              <w:szCs w:val="28"/>
            </w:rPr>
            <w:fldChar w:fldCharType="begin"/>
          </w:r>
          <w:r>
            <w:rPr>
              <w:szCs w:val="28"/>
            </w:rPr>
            <w:instrText xml:space="preserve"> HYPERLINK \l _Toc18521 </w:instrText>
          </w:r>
          <w:r>
            <w:rPr>
              <w:szCs w:val="28"/>
            </w:rPr>
            <w:fldChar w:fldCharType="separate"/>
          </w:r>
          <w:r>
            <w:rPr>
              <w:rFonts w:hint="eastAsia"/>
              <w:lang w:val="en-US" w:eastAsia="zh-CN"/>
            </w:rPr>
            <w:t>4.1.技术管理</w:t>
          </w:r>
          <w:r>
            <w:tab/>
          </w:r>
          <w:r>
            <w:fldChar w:fldCharType="begin"/>
          </w:r>
          <w:r>
            <w:instrText xml:space="preserve"> PAGEREF _Toc18521 \h </w:instrText>
          </w:r>
          <w:r>
            <w:fldChar w:fldCharType="separate"/>
          </w:r>
          <w:r>
            <w:t>6</w:t>
          </w:r>
          <w:r>
            <w:fldChar w:fldCharType="end"/>
          </w:r>
          <w:r>
            <w:rPr>
              <w:szCs w:val="28"/>
            </w:rPr>
            <w:fldChar w:fldCharType="end"/>
          </w:r>
        </w:p>
        <w:p w14:paraId="6C45C5A9">
          <w:pPr>
            <w:pStyle w:val="9"/>
            <w:tabs>
              <w:tab w:val="right" w:leader="dot" w:pos="8306"/>
            </w:tabs>
          </w:pPr>
          <w:r>
            <w:rPr>
              <w:szCs w:val="28"/>
            </w:rPr>
            <w:fldChar w:fldCharType="begin"/>
          </w:r>
          <w:r>
            <w:rPr>
              <w:szCs w:val="28"/>
            </w:rPr>
            <w:instrText xml:space="preserve"> HYPERLINK \l _Toc15986 </w:instrText>
          </w:r>
          <w:r>
            <w:rPr>
              <w:szCs w:val="28"/>
            </w:rPr>
            <w:fldChar w:fldCharType="separate"/>
          </w:r>
          <w:r>
            <w:rPr>
              <w:rFonts w:hint="eastAsia"/>
              <w:lang w:val="en-US" w:eastAsia="zh-CN"/>
            </w:rPr>
            <w:t>4.2研发团队</w:t>
          </w:r>
          <w:r>
            <w:tab/>
          </w:r>
          <w:r>
            <w:fldChar w:fldCharType="begin"/>
          </w:r>
          <w:r>
            <w:instrText xml:space="preserve"> PAGEREF _Toc15986 \h </w:instrText>
          </w:r>
          <w:r>
            <w:fldChar w:fldCharType="separate"/>
          </w:r>
          <w:r>
            <w:t>6</w:t>
          </w:r>
          <w:r>
            <w:fldChar w:fldCharType="end"/>
          </w:r>
          <w:r>
            <w:rPr>
              <w:szCs w:val="28"/>
            </w:rPr>
            <w:fldChar w:fldCharType="end"/>
          </w:r>
        </w:p>
        <w:p w14:paraId="4A846E7C">
          <w:pPr>
            <w:pStyle w:val="9"/>
            <w:tabs>
              <w:tab w:val="right" w:leader="dot" w:pos="8306"/>
            </w:tabs>
          </w:pPr>
          <w:r>
            <w:rPr>
              <w:szCs w:val="28"/>
            </w:rPr>
            <w:fldChar w:fldCharType="begin"/>
          </w:r>
          <w:r>
            <w:rPr>
              <w:szCs w:val="28"/>
            </w:rPr>
            <w:instrText xml:space="preserve"> HYPERLINK \l _Toc26056 </w:instrText>
          </w:r>
          <w:r>
            <w:rPr>
              <w:szCs w:val="28"/>
            </w:rPr>
            <w:fldChar w:fldCharType="separate"/>
          </w:r>
          <w:r>
            <w:rPr>
              <w:rFonts w:hint="eastAsia"/>
              <w:lang w:val="en-US" w:eastAsia="zh-CN"/>
            </w:rPr>
            <w:t>4.3知识产权</w:t>
          </w:r>
          <w:r>
            <w:tab/>
          </w:r>
          <w:r>
            <w:fldChar w:fldCharType="begin"/>
          </w:r>
          <w:r>
            <w:instrText xml:space="preserve"> PAGEREF _Toc26056 \h </w:instrText>
          </w:r>
          <w:r>
            <w:fldChar w:fldCharType="separate"/>
          </w:r>
          <w:r>
            <w:t>7</w:t>
          </w:r>
          <w:r>
            <w:fldChar w:fldCharType="end"/>
          </w:r>
          <w:r>
            <w:rPr>
              <w:szCs w:val="28"/>
            </w:rPr>
            <w:fldChar w:fldCharType="end"/>
          </w:r>
        </w:p>
        <w:p w14:paraId="6CD29F25">
          <w:pPr>
            <w:pStyle w:val="8"/>
            <w:tabs>
              <w:tab w:val="right" w:leader="dot" w:pos="8306"/>
            </w:tabs>
          </w:pPr>
          <w:r>
            <w:rPr>
              <w:szCs w:val="28"/>
            </w:rPr>
            <w:fldChar w:fldCharType="begin"/>
          </w:r>
          <w:r>
            <w:rPr>
              <w:szCs w:val="28"/>
            </w:rPr>
            <w:instrText xml:space="preserve"> HYPERLINK \l _Toc23251 </w:instrText>
          </w:r>
          <w:r>
            <w:rPr>
              <w:szCs w:val="28"/>
            </w:rPr>
            <w:fldChar w:fldCharType="separate"/>
          </w:r>
          <w:r>
            <w:rPr>
              <w:rFonts w:hint="eastAsia"/>
              <w:lang w:val="en-US" w:eastAsia="zh-CN"/>
            </w:rPr>
            <w:t>五、信用建设与供应链管理</w:t>
          </w:r>
          <w:r>
            <w:tab/>
          </w:r>
          <w:r>
            <w:fldChar w:fldCharType="begin"/>
          </w:r>
          <w:r>
            <w:instrText xml:space="preserve"> PAGEREF _Toc23251 \h </w:instrText>
          </w:r>
          <w:r>
            <w:fldChar w:fldCharType="separate"/>
          </w:r>
          <w:r>
            <w:t>7</w:t>
          </w:r>
          <w:r>
            <w:fldChar w:fldCharType="end"/>
          </w:r>
          <w:r>
            <w:rPr>
              <w:szCs w:val="28"/>
            </w:rPr>
            <w:fldChar w:fldCharType="end"/>
          </w:r>
        </w:p>
        <w:p w14:paraId="5A7FC8C0">
          <w:pPr>
            <w:pStyle w:val="9"/>
            <w:tabs>
              <w:tab w:val="right" w:leader="dot" w:pos="8306"/>
            </w:tabs>
          </w:pPr>
          <w:r>
            <w:rPr>
              <w:szCs w:val="28"/>
            </w:rPr>
            <w:fldChar w:fldCharType="begin"/>
          </w:r>
          <w:r>
            <w:rPr>
              <w:szCs w:val="28"/>
            </w:rPr>
            <w:instrText xml:space="preserve"> HYPERLINK \l _Toc25278 </w:instrText>
          </w:r>
          <w:r>
            <w:rPr>
              <w:szCs w:val="28"/>
            </w:rPr>
            <w:fldChar w:fldCharType="separate"/>
          </w:r>
          <w:r>
            <w:rPr>
              <w:rFonts w:hint="eastAsia"/>
              <w:lang w:val="en-US" w:eastAsia="zh-CN"/>
            </w:rPr>
            <w:t>5.1企业信用建设</w:t>
          </w:r>
          <w:r>
            <w:tab/>
          </w:r>
          <w:r>
            <w:fldChar w:fldCharType="begin"/>
          </w:r>
          <w:r>
            <w:instrText xml:space="preserve"> PAGEREF _Toc25278 \h </w:instrText>
          </w:r>
          <w:r>
            <w:fldChar w:fldCharType="separate"/>
          </w:r>
          <w:r>
            <w:t>7</w:t>
          </w:r>
          <w:r>
            <w:fldChar w:fldCharType="end"/>
          </w:r>
          <w:r>
            <w:rPr>
              <w:szCs w:val="28"/>
            </w:rPr>
            <w:fldChar w:fldCharType="end"/>
          </w:r>
        </w:p>
        <w:p w14:paraId="0DC950FF">
          <w:pPr>
            <w:pStyle w:val="9"/>
            <w:tabs>
              <w:tab w:val="right" w:leader="dot" w:pos="8306"/>
            </w:tabs>
          </w:pPr>
          <w:r>
            <w:rPr>
              <w:szCs w:val="28"/>
            </w:rPr>
            <w:fldChar w:fldCharType="begin"/>
          </w:r>
          <w:r>
            <w:rPr>
              <w:szCs w:val="28"/>
            </w:rPr>
            <w:instrText xml:space="preserve"> HYPERLINK \l _Toc23883 </w:instrText>
          </w:r>
          <w:r>
            <w:rPr>
              <w:szCs w:val="28"/>
            </w:rPr>
            <w:fldChar w:fldCharType="separate"/>
          </w:r>
          <w:r>
            <w:rPr>
              <w:rFonts w:hint="eastAsia"/>
              <w:lang w:val="en-US" w:eastAsia="zh-CN"/>
            </w:rPr>
            <w:t>5.2 供应商管理与社会责任</w:t>
          </w:r>
          <w:r>
            <w:tab/>
          </w:r>
          <w:r>
            <w:fldChar w:fldCharType="begin"/>
          </w:r>
          <w:r>
            <w:instrText xml:space="preserve"> PAGEREF _Toc23883 \h </w:instrText>
          </w:r>
          <w:r>
            <w:fldChar w:fldCharType="separate"/>
          </w:r>
          <w:r>
            <w:t>8</w:t>
          </w:r>
          <w:r>
            <w:fldChar w:fldCharType="end"/>
          </w:r>
          <w:r>
            <w:rPr>
              <w:szCs w:val="28"/>
            </w:rPr>
            <w:fldChar w:fldCharType="end"/>
          </w:r>
        </w:p>
        <w:p w14:paraId="4E8A455D">
          <w:pPr>
            <w:pStyle w:val="8"/>
            <w:tabs>
              <w:tab w:val="right" w:leader="dot" w:pos="8306"/>
            </w:tabs>
          </w:pPr>
          <w:r>
            <w:rPr>
              <w:szCs w:val="28"/>
            </w:rPr>
            <w:fldChar w:fldCharType="begin"/>
          </w:r>
          <w:r>
            <w:rPr>
              <w:szCs w:val="28"/>
            </w:rPr>
            <w:instrText xml:space="preserve"> HYPERLINK \l _Toc8295 </w:instrText>
          </w:r>
          <w:r>
            <w:rPr>
              <w:szCs w:val="28"/>
            </w:rPr>
            <w:fldChar w:fldCharType="separate"/>
          </w:r>
          <w:r>
            <w:rPr>
              <w:rFonts w:hint="eastAsia"/>
              <w:lang w:val="en-US" w:eastAsia="zh-CN"/>
            </w:rPr>
            <w:t>六、 环境管理与资源节约</w:t>
          </w:r>
          <w:r>
            <w:tab/>
          </w:r>
          <w:r>
            <w:fldChar w:fldCharType="begin"/>
          </w:r>
          <w:r>
            <w:instrText xml:space="preserve"> PAGEREF _Toc8295 \h </w:instrText>
          </w:r>
          <w:r>
            <w:fldChar w:fldCharType="separate"/>
          </w:r>
          <w:r>
            <w:t>9</w:t>
          </w:r>
          <w:r>
            <w:fldChar w:fldCharType="end"/>
          </w:r>
          <w:r>
            <w:rPr>
              <w:szCs w:val="28"/>
            </w:rPr>
            <w:fldChar w:fldCharType="end"/>
          </w:r>
        </w:p>
        <w:p w14:paraId="281802C2">
          <w:pPr>
            <w:pStyle w:val="9"/>
            <w:tabs>
              <w:tab w:val="right" w:leader="dot" w:pos="8306"/>
            </w:tabs>
          </w:pPr>
          <w:r>
            <w:rPr>
              <w:szCs w:val="28"/>
            </w:rPr>
            <w:fldChar w:fldCharType="begin"/>
          </w:r>
          <w:r>
            <w:rPr>
              <w:szCs w:val="28"/>
            </w:rPr>
            <w:instrText xml:space="preserve"> HYPERLINK \l _Toc16825 </w:instrText>
          </w:r>
          <w:r>
            <w:rPr>
              <w:szCs w:val="28"/>
            </w:rPr>
            <w:fldChar w:fldCharType="separate"/>
          </w:r>
          <w:r>
            <w:rPr>
              <w:rFonts w:hint="eastAsia"/>
              <w:lang w:val="en-US" w:eastAsia="zh-CN"/>
            </w:rPr>
            <w:t>6</w:t>
          </w:r>
          <w:r>
            <w:rPr>
              <w:rFonts w:hint="default"/>
              <w:lang w:val="en-US" w:eastAsia="zh-CN"/>
            </w:rPr>
            <w:t xml:space="preserve">. </w:t>
          </w:r>
          <w:r>
            <w:rPr>
              <w:rFonts w:hint="eastAsia"/>
              <w:lang w:val="en-US" w:eastAsia="zh-CN"/>
            </w:rPr>
            <w:t>1</w:t>
          </w:r>
          <w:r>
            <w:rPr>
              <w:rFonts w:hint="default"/>
              <w:lang w:val="en-US" w:eastAsia="zh-CN"/>
            </w:rPr>
            <w:t>环境管理体系</w:t>
          </w:r>
          <w:r>
            <w:tab/>
          </w:r>
          <w:r>
            <w:fldChar w:fldCharType="begin"/>
          </w:r>
          <w:r>
            <w:instrText xml:space="preserve"> PAGEREF _Toc16825 \h </w:instrText>
          </w:r>
          <w:r>
            <w:fldChar w:fldCharType="separate"/>
          </w:r>
          <w:r>
            <w:t>9</w:t>
          </w:r>
          <w:r>
            <w:fldChar w:fldCharType="end"/>
          </w:r>
          <w:r>
            <w:rPr>
              <w:szCs w:val="28"/>
            </w:rPr>
            <w:fldChar w:fldCharType="end"/>
          </w:r>
        </w:p>
        <w:p w14:paraId="09ECCB86">
          <w:pPr>
            <w:pStyle w:val="9"/>
            <w:tabs>
              <w:tab w:val="right" w:leader="dot" w:pos="8306"/>
            </w:tabs>
          </w:pPr>
          <w:r>
            <w:rPr>
              <w:szCs w:val="28"/>
            </w:rPr>
            <w:fldChar w:fldCharType="begin"/>
          </w:r>
          <w:r>
            <w:rPr>
              <w:szCs w:val="28"/>
            </w:rPr>
            <w:instrText xml:space="preserve"> HYPERLINK \l _Toc21767 </w:instrText>
          </w:r>
          <w:r>
            <w:rPr>
              <w:szCs w:val="28"/>
            </w:rPr>
            <w:fldChar w:fldCharType="separate"/>
          </w:r>
          <w:r>
            <w:rPr>
              <w:rFonts w:hint="eastAsia"/>
              <w:lang w:val="en-US" w:eastAsia="zh-CN"/>
            </w:rPr>
            <w:t>6.2</w:t>
          </w:r>
          <w:r>
            <w:rPr>
              <w:rFonts w:hint="default"/>
              <w:lang w:val="en-US" w:eastAsia="zh-CN"/>
            </w:rPr>
            <w:t>资源综合利用</w:t>
          </w:r>
          <w:r>
            <w:tab/>
          </w:r>
          <w:r>
            <w:fldChar w:fldCharType="begin"/>
          </w:r>
          <w:r>
            <w:instrText xml:space="preserve"> PAGEREF _Toc21767 \h </w:instrText>
          </w:r>
          <w:r>
            <w:fldChar w:fldCharType="separate"/>
          </w:r>
          <w:r>
            <w:t>11</w:t>
          </w:r>
          <w:r>
            <w:fldChar w:fldCharType="end"/>
          </w:r>
          <w:r>
            <w:rPr>
              <w:szCs w:val="28"/>
            </w:rPr>
            <w:fldChar w:fldCharType="end"/>
          </w:r>
        </w:p>
        <w:p w14:paraId="7BA8D0B9">
          <w:pPr>
            <w:pStyle w:val="8"/>
            <w:tabs>
              <w:tab w:val="right" w:leader="dot" w:pos="8306"/>
            </w:tabs>
          </w:pPr>
          <w:r>
            <w:rPr>
              <w:szCs w:val="28"/>
            </w:rPr>
            <w:fldChar w:fldCharType="begin"/>
          </w:r>
          <w:r>
            <w:rPr>
              <w:szCs w:val="28"/>
            </w:rPr>
            <w:instrText xml:space="preserve"> HYPERLINK \l _Toc20417 </w:instrText>
          </w:r>
          <w:r>
            <w:rPr>
              <w:szCs w:val="28"/>
            </w:rPr>
            <w:fldChar w:fldCharType="separate"/>
          </w:r>
          <w:r>
            <w:rPr>
              <w:rFonts w:hint="eastAsia"/>
              <w:lang w:val="en-US" w:eastAsia="zh-CN"/>
            </w:rPr>
            <w:t>七、 安全生产</w:t>
          </w:r>
          <w:r>
            <w:tab/>
          </w:r>
          <w:r>
            <w:fldChar w:fldCharType="begin"/>
          </w:r>
          <w:r>
            <w:instrText xml:space="preserve"> PAGEREF _Toc20417 \h </w:instrText>
          </w:r>
          <w:r>
            <w:fldChar w:fldCharType="separate"/>
          </w:r>
          <w:r>
            <w:t>13</w:t>
          </w:r>
          <w:r>
            <w:fldChar w:fldCharType="end"/>
          </w:r>
          <w:r>
            <w:rPr>
              <w:szCs w:val="28"/>
            </w:rPr>
            <w:fldChar w:fldCharType="end"/>
          </w:r>
        </w:p>
        <w:p w14:paraId="0847B337">
          <w:pPr>
            <w:pStyle w:val="8"/>
            <w:tabs>
              <w:tab w:val="right" w:leader="dot" w:pos="8306"/>
            </w:tabs>
          </w:pPr>
          <w:r>
            <w:rPr>
              <w:szCs w:val="28"/>
            </w:rPr>
            <w:fldChar w:fldCharType="begin"/>
          </w:r>
          <w:r>
            <w:rPr>
              <w:szCs w:val="28"/>
            </w:rPr>
            <w:instrText xml:space="preserve"> HYPERLINK \l _Toc12886 </w:instrText>
          </w:r>
          <w:r>
            <w:rPr>
              <w:szCs w:val="28"/>
            </w:rPr>
            <w:fldChar w:fldCharType="separate"/>
          </w:r>
          <w:r>
            <w:rPr>
              <w:rFonts w:hint="eastAsia"/>
              <w:lang w:val="en-US" w:eastAsia="zh-CN"/>
            </w:rPr>
            <w:t>八、 员工权益与发展</w:t>
          </w:r>
          <w:r>
            <w:tab/>
          </w:r>
          <w:r>
            <w:fldChar w:fldCharType="begin"/>
          </w:r>
          <w:r>
            <w:instrText xml:space="preserve"> PAGEREF _Toc12886 \h </w:instrText>
          </w:r>
          <w:r>
            <w:fldChar w:fldCharType="separate"/>
          </w:r>
          <w:r>
            <w:t>13</w:t>
          </w:r>
          <w:r>
            <w:fldChar w:fldCharType="end"/>
          </w:r>
          <w:r>
            <w:rPr>
              <w:szCs w:val="28"/>
            </w:rPr>
            <w:fldChar w:fldCharType="end"/>
          </w:r>
        </w:p>
        <w:p w14:paraId="5BC859F3">
          <w:pPr>
            <w:pStyle w:val="9"/>
            <w:tabs>
              <w:tab w:val="right" w:leader="dot" w:pos="8306"/>
            </w:tabs>
          </w:pPr>
          <w:r>
            <w:rPr>
              <w:szCs w:val="28"/>
            </w:rPr>
            <w:fldChar w:fldCharType="begin"/>
          </w:r>
          <w:r>
            <w:rPr>
              <w:szCs w:val="28"/>
            </w:rPr>
            <w:instrText xml:space="preserve"> HYPERLINK \l _Toc63 </w:instrText>
          </w:r>
          <w:r>
            <w:rPr>
              <w:szCs w:val="28"/>
            </w:rPr>
            <w:fldChar w:fldCharType="separate"/>
          </w:r>
          <w:r>
            <w:rPr>
              <w:rFonts w:hint="eastAsia"/>
              <w:lang w:val="en-US" w:eastAsia="zh-CN"/>
            </w:rPr>
            <w:t>8.1</w:t>
          </w:r>
          <w:r>
            <w:rPr>
              <w:rFonts w:hint="default"/>
              <w:lang w:val="en-US" w:eastAsia="zh-CN"/>
            </w:rPr>
            <w:t>.人员结构概况</w:t>
          </w:r>
          <w:r>
            <w:tab/>
          </w:r>
          <w:r>
            <w:fldChar w:fldCharType="begin"/>
          </w:r>
          <w:r>
            <w:instrText xml:space="preserve"> PAGEREF _Toc63 \h </w:instrText>
          </w:r>
          <w:r>
            <w:fldChar w:fldCharType="separate"/>
          </w:r>
          <w:r>
            <w:t>13</w:t>
          </w:r>
          <w:r>
            <w:fldChar w:fldCharType="end"/>
          </w:r>
          <w:r>
            <w:rPr>
              <w:szCs w:val="28"/>
            </w:rPr>
            <w:fldChar w:fldCharType="end"/>
          </w:r>
        </w:p>
        <w:p w14:paraId="4653C55F">
          <w:pPr>
            <w:pStyle w:val="9"/>
            <w:tabs>
              <w:tab w:val="right" w:leader="dot" w:pos="8306"/>
            </w:tabs>
          </w:pPr>
          <w:r>
            <w:rPr>
              <w:szCs w:val="28"/>
            </w:rPr>
            <w:fldChar w:fldCharType="begin"/>
          </w:r>
          <w:r>
            <w:rPr>
              <w:szCs w:val="28"/>
            </w:rPr>
            <w:instrText xml:space="preserve"> HYPERLINK \l _Toc11195 </w:instrText>
          </w:r>
          <w:r>
            <w:rPr>
              <w:szCs w:val="28"/>
            </w:rPr>
            <w:fldChar w:fldCharType="separate"/>
          </w:r>
          <w:r>
            <w:rPr>
              <w:rFonts w:hint="eastAsia"/>
              <w:lang w:val="en-US" w:eastAsia="zh-CN"/>
            </w:rPr>
            <w:t>8.2</w:t>
          </w:r>
          <w:r>
            <w:rPr>
              <w:rFonts w:hint="default"/>
              <w:lang w:val="en-US" w:eastAsia="zh-CN"/>
            </w:rPr>
            <w:t>薪酬福利保障</w:t>
          </w:r>
          <w:r>
            <w:tab/>
          </w:r>
          <w:r>
            <w:fldChar w:fldCharType="begin"/>
          </w:r>
          <w:r>
            <w:instrText xml:space="preserve"> PAGEREF _Toc11195 \h </w:instrText>
          </w:r>
          <w:r>
            <w:fldChar w:fldCharType="separate"/>
          </w:r>
          <w:r>
            <w:t>14</w:t>
          </w:r>
          <w:r>
            <w:fldChar w:fldCharType="end"/>
          </w:r>
          <w:r>
            <w:rPr>
              <w:szCs w:val="28"/>
            </w:rPr>
            <w:fldChar w:fldCharType="end"/>
          </w:r>
        </w:p>
        <w:p w14:paraId="026F428B">
          <w:pPr>
            <w:pStyle w:val="9"/>
            <w:tabs>
              <w:tab w:val="right" w:leader="dot" w:pos="8306"/>
            </w:tabs>
          </w:pPr>
          <w:r>
            <w:rPr>
              <w:szCs w:val="28"/>
            </w:rPr>
            <w:fldChar w:fldCharType="begin"/>
          </w:r>
          <w:r>
            <w:rPr>
              <w:szCs w:val="28"/>
            </w:rPr>
            <w:instrText xml:space="preserve"> HYPERLINK \l _Toc18188 </w:instrText>
          </w:r>
          <w:r>
            <w:rPr>
              <w:szCs w:val="28"/>
            </w:rPr>
            <w:fldChar w:fldCharType="separate"/>
          </w:r>
          <w:r>
            <w:rPr>
              <w:rFonts w:hint="eastAsia"/>
              <w:lang w:val="en-US" w:eastAsia="zh-CN"/>
            </w:rPr>
            <w:t>8.</w:t>
          </w:r>
          <w:r>
            <w:rPr>
              <w:rFonts w:hint="default"/>
              <w:lang w:val="en-US" w:eastAsia="zh-CN"/>
            </w:rPr>
            <w:t>3 员工福利投入</w:t>
          </w:r>
          <w:r>
            <w:tab/>
          </w:r>
          <w:r>
            <w:fldChar w:fldCharType="begin"/>
          </w:r>
          <w:r>
            <w:instrText xml:space="preserve"> PAGEREF _Toc18188 \h </w:instrText>
          </w:r>
          <w:r>
            <w:fldChar w:fldCharType="separate"/>
          </w:r>
          <w:r>
            <w:t>14</w:t>
          </w:r>
          <w:r>
            <w:fldChar w:fldCharType="end"/>
          </w:r>
          <w:r>
            <w:rPr>
              <w:szCs w:val="28"/>
            </w:rPr>
            <w:fldChar w:fldCharType="end"/>
          </w:r>
        </w:p>
        <w:p w14:paraId="57DEA325">
          <w:pPr>
            <w:pStyle w:val="8"/>
            <w:tabs>
              <w:tab w:val="right" w:leader="dot" w:pos="8306"/>
            </w:tabs>
          </w:pPr>
          <w:r>
            <w:rPr>
              <w:szCs w:val="28"/>
            </w:rPr>
            <w:fldChar w:fldCharType="begin"/>
          </w:r>
          <w:r>
            <w:rPr>
              <w:szCs w:val="28"/>
            </w:rPr>
            <w:instrText xml:space="preserve"> HYPERLINK \l _Toc17272 </w:instrText>
          </w:r>
          <w:r>
            <w:rPr>
              <w:szCs w:val="28"/>
            </w:rPr>
            <w:fldChar w:fldCharType="separate"/>
          </w:r>
          <w:r>
            <w:rPr>
              <w:rFonts w:hint="default"/>
              <w:lang w:val="en-US" w:eastAsia="zh-CN"/>
            </w:rPr>
            <w:t>九、社会责任实践与公益支持</w:t>
          </w:r>
          <w:r>
            <w:tab/>
          </w:r>
          <w:r>
            <w:fldChar w:fldCharType="begin"/>
          </w:r>
          <w:r>
            <w:instrText xml:space="preserve"> PAGEREF _Toc17272 \h </w:instrText>
          </w:r>
          <w:r>
            <w:fldChar w:fldCharType="separate"/>
          </w:r>
          <w:r>
            <w:t>15</w:t>
          </w:r>
          <w:r>
            <w:fldChar w:fldCharType="end"/>
          </w:r>
          <w:r>
            <w:rPr>
              <w:szCs w:val="28"/>
            </w:rPr>
            <w:fldChar w:fldCharType="end"/>
          </w:r>
        </w:p>
        <w:p w14:paraId="5B1C5CBB">
          <w:pPr>
            <w:pStyle w:val="9"/>
            <w:tabs>
              <w:tab w:val="right" w:leader="dot" w:pos="8306"/>
            </w:tabs>
          </w:pPr>
          <w:r>
            <w:rPr>
              <w:szCs w:val="28"/>
            </w:rPr>
            <w:fldChar w:fldCharType="begin"/>
          </w:r>
          <w:r>
            <w:rPr>
              <w:szCs w:val="28"/>
            </w:rPr>
            <w:instrText xml:space="preserve"> HYPERLINK \l _Toc11276 </w:instrText>
          </w:r>
          <w:r>
            <w:rPr>
              <w:szCs w:val="28"/>
            </w:rPr>
            <w:fldChar w:fldCharType="separate"/>
          </w:r>
          <w:r>
            <w:rPr>
              <w:rFonts w:hint="default"/>
              <w:lang w:val="en-US" w:eastAsia="zh-CN"/>
            </w:rPr>
            <w:t>9.1 安全责任践行</w:t>
          </w:r>
          <w:r>
            <w:tab/>
          </w:r>
          <w:r>
            <w:fldChar w:fldCharType="begin"/>
          </w:r>
          <w:r>
            <w:instrText xml:space="preserve"> PAGEREF _Toc11276 \h </w:instrText>
          </w:r>
          <w:r>
            <w:fldChar w:fldCharType="separate"/>
          </w:r>
          <w:r>
            <w:t>15</w:t>
          </w:r>
          <w:r>
            <w:fldChar w:fldCharType="end"/>
          </w:r>
          <w:r>
            <w:rPr>
              <w:szCs w:val="28"/>
            </w:rPr>
            <w:fldChar w:fldCharType="end"/>
          </w:r>
        </w:p>
        <w:p w14:paraId="1F2C9AFD">
          <w:pPr>
            <w:pStyle w:val="9"/>
            <w:tabs>
              <w:tab w:val="right" w:leader="dot" w:pos="8306"/>
            </w:tabs>
          </w:pPr>
          <w:r>
            <w:rPr>
              <w:szCs w:val="28"/>
            </w:rPr>
            <w:fldChar w:fldCharType="begin"/>
          </w:r>
          <w:r>
            <w:rPr>
              <w:szCs w:val="28"/>
            </w:rPr>
            <w:instrText xml:space="preserve"> HYPERLINK \l _Toc15864 </w:instrText>
          </w:r>
          <w:r>
            <w:rPr>
              <w:szCs w:val="28"/>
            </w:rPr>
            <w:fldChar w:fldCharType="separate"/>
          </w:r>
          <w:r>
            <w:rPr>
              <w:rFonts w:hint="default"/>
              <w:lang w:val="en-US" w:eastAsia="zh-CN"/>
            </w:rPr>
            <w:t>9.2 员工责任落实</w:t>
          </w:r>
          <w:r>
            <w:tab/>
          </w:r>
          <w:r>
            <w:fldChar w:fldCharType="begin"/>
          </w:r>
          <w:r>
            <w:instrText xml:space="preserve"> PAGEREF _Toc15864 \h </w:instrText>
          </w:r>
          <w:r>
            <w:fldChar w:fldCharType="separate"/>
          </w:r>
          <w:r>
            <w:t>16</w:t>
          </w:r>
          <w:r>
            <w:fldChar w:fldCharType="end"/>
          </w:r>
          <w:r>
            <w:rPr>
              <w:szCs w:val="28"/>
            </w:rPr>
            <w:fldChar w:fldCharType="end"/>
          </w:r>
        </w:p>
        <w:p w14:paraId="1E06C46F">
          <w:pPr>
            <w:pStyle w:val="9"/>
            <w:tabs>
              <w:tab w:val="right" w:leader="dot" w:pos="8306"/>
            </w:tabs>
          </w:pPr>
          <w:r>
            <w:rPr>
              <w:szCs w:val="28"/>
            </w:rPr>
            <w:fldChar w:fldCharType="begin"/>
          </w:r>
          <w:r>
            <w:rPr>
              <w:szCs w:val="28"/>
            </w:rPr>
            <w:instrText xml:space="preserve"> HYPERLINK \l _Toc13738 </w:instrText>
          </w:r>
          <w:r>
            <w:rPr>
              <w:szCs w:val="28"/>
            </w:rPr>
            <w:fldChar w:fldCharType="separate"/>
          </w:r>
          <w:r>
            <w:rPr>
              <w:rFonts w:hint="default"/>
              <w:lang w:val="en-US" w:eastAsia="zh-CN"/>
            </w:rPr>
            <w:t>9.3 公益责任履行</w:t>
          </w:r>
          <w:r>
            <w:tab/>
          </w:r>
          <w:r>
            <w:fldChar w:fldCharType="begin"/>
          </w:r>
          <w:r>
            <w:instrText xml:space="preserve"> PAGEREF _Toc13738 \h </w:instrText>
          </w:r>
          <w:r>
            <w:fldChar w:fldCharType="separate"/>
          </w:r>
          <w:r>
            <w:t>16</w:t>
          </w:r>
          <w:r>
            <w:fldChar w:fldCharType="end"/>
          </w:r>
          <w:r>
            <w:rPr>
              <w:szCs w:val="28"/>
            </w:rPr>
            <w:fldChar w:fldCharType="end"/>
          </w:r>
        </w:p>
        <w:p w14:paraId="06646B05">
          <w:pPr>
            <w:pStyle w:val="8"/>
            <w:tabs>
              <w:tab w:val="right" w:leader="dot" w:pos="8306"/>
            </w:tabs>
          </w:pPr>
          <w:r>
            <w:rPr>
              <w:szCs w:val="28"/>
            </w:rPr>
            <w:fldChar w:fldCharType="begin"/>
          </w:r>
          <w:r>
            <w:rPr>
              <w:szCs w:val="28"/>
            </w:rPr>
            <w:instrText xml:space="preserve"> HYPERLINK \l _Toc21734 </w:instrText>
          </w:r>
          <w:r>
            <w:rPr>
              <w:szCs w:val="28"/>
            </w:rPr>
            <w:fldChar w:fldCharType="separate"/>
          </w:r>
          <w:r>
            <w:rPr>
              <w:rFonts w:hint="eastAsia"/>
              <w:lang w:val="en-US" w:eastAsia="zh-CN"/>
            </w:rPr>
            <w:t>九、 绩效评价与持续改进</w:t>
          </w:r>
          <w:r>
            <w:tab/>
          </w:r>
          <w:r>
            <w:fldChar w:fldCharType="begin"/>
          </w:r>
          <w:r>
            <w:instrText xml:space="preserve"> PAGEREF _Toc21734 \h </w:instrText>
          </w:r>
          <w:r>
            <w:fldChar w:fldCharType="separate"/>
          </w:r>
          <w:r>
            <w:t>19</w:t>
          </w:r>
          <w:r>
            <w:fldChar w:fldCharType="end"/>
          </w:r>
          <w:r>
            <w:rPr>
              <w:szCs w:val="28"/>
            </w:rPr>
            <w:fldChar w:fldCharType="end"/>
          </w:r>
        </w:p>
        <w:p w14:paraId="0537E2EE">
          <w:pPr>
            <w:pStyle w:val="9"/>
            <w:tabs>
              <w:tab w:val="right" w:leader="dot" w:pos="8306"/>
            </w:tabs>
          </w:pPr>
          <w:r>
            <w:rPr>
              <w:szCs w:val="28"/>
            </w:rPr>
            <w:fldChar w:fldCharType="begin"/>
          </w:r>
          <w:r>
            <w:rPr>
              <w:szCs w:val="28"/>
            </w:rPr>
            <w:instrText xml:space="preserve"> HYPERLINK \l _Toc30757 </w:instrText>
          </w:r>
          <w:r>
            <w:rPr>
              <w:szCs w:val="28"/>
            </w:rPr>
            <w:fldChar w:fldCharType="separate"/>
          </w:r>
          <w:r>
            <w:rPr>
              <w:rFonts w:hint="eastAsia"/>
              <w:lang w:val="en-US" w:eastAsia="zh-CN"/>
            </w:rPr>
            <w:t>10.1 监视、测量与评价</w:t>
          </w:r>
          <w:r>
            <w:tab/>
          </w:r>
          <w:r>
            <w:fldChar w:fldCharType="begin"/>
          </w:r>
          <w:r>
            <w:instrText xml:space="preserve"> PAGEREF _Toc30757 \h </w:instrText>
          </w:r>
          <w:r>
            <w:fldChar w:fldCharType="separate"/>
          </w:r>
          <w:r>
            <w:t>19</w:t>
          </w:r>
          <w:r>
            <w:fldChar w:fldCharType="end"/>
          </w:r>
          <w:r>
            <w:rPr>
              <w:szCs w:val="28"/>
            </w:rPr>
            <w:fldChar w:fldCharType="end"/>
          </w:r>
        </w:p>
        <w:p w14:paraId="566435D0">
          <w:pPr>
            <w:pStyle w:val="9"/>
            <w:tabs>
              <w:tab w:val="right" w:leader="dot" w:pos="8306"/>
            </w:tabs>
          </w:pPr>
          <w:r>
            <w:rPr>
              <w:szCs w:val="28"/>
            </w:rPr>
            <w:fldChar w:fldCharType="begin"/>
          </w:r>
          <w:r>
            <w:rPr>
              <w:szCs w:val="28"/>
            </w:rPr>
            <w:instrText xml:space="preserve"> HYPERLINK \l _Toc4031 </w:instrText>
          </w:r>
          <w:r>
            <w:rPr>
              <w:szCs w:val="28"/>
            </w:rPr>
            <w:fldChar w:fldCharType="separate"/>
          </w:r>
          <w:r>
            <w:rPr>
              <w:rFonts w:hint="eastAsia"/>
              <w:lang w:val="en-US" w:eastAsia="zh-CN"/>
            </w:rPr>
            <w:t>10.2 内部审核与管理评审</w:t>
          </w:r>
          <w:r>
            <w:tab/>
          </w:r>
          <w:r>
            <w:fldChar w:fldCharType="begin"/>
          </w:r>
          <w:r>
            <w:instrText xml:space="preserve"> PAGEREF _Toc4031 \h </w:instrText>
          </w:r>
          <w:r>
            <w:fldChar w:fldCharType="separate"/>
          </w:r>
          <w:r>
            <w:t>20</w:t>
          </w:r>
          <w:r>
            <w:fldChar w:fldCharType="end"/>
          </w:r>
          <w:r>
            <w:rPr>
              <w:szCs w:val="28"/>
            </w:rPr>
            <w:fldChar w:fldCharType="end"/>
          </w:r>
        </w:p>
        <w:p w14:paraId="19B8DBF6">
          <w:pPr>
            <w:pStyle w:val="9"/>
            <w:tabs>
              <w:tab w:val="right" w:leader="dot" w:pos="8306"/>
            </w:tabs>
          </w:pPr>
          <w:r>
            <w:rPr>
              <w:szCs w:val="28"/>
            </w:rPr>
            <w:fldChar w:fldCharType="begin"/>
          </w:r>
          <w:r>
            <w:rPr>
              <w:szCs w:val="28"/>
            </w:rPr>
            <w:instrText xml:space="preserve"> HYPERLINK \l _Toc30815 </w:instrText>
          </w:r>
          <w:r>
            <w:rPr>
              <w:szCs w:val="28"/>
            </w:rPr>
            <w:fldChar w:fldCharType="separate"/>
          </w:r>
          <w:r>
            <w:rPr>
              <w:rFonts w:hint="eastAsia"/>
              <w:lang w:val="en-US" w:eastAsia="zh-CN"/>
            </w:rPr>
            <w:t>10.3 持续改进措施</w:t>
          </w:r>
          <w:r>
            <w:tab/>
          </w:r>
          <w:r>
            <w:fldChar w:fldCharType="begin"/>
          </w:r>
          <w:r>
            <w:instrText xml:space="preserve"> PAGEREF _Toc30815 \h </w:instrText>
          </w:r>
          <w:r>
            <w:fldChar w:fldCharType="separate"/>
          </w:r>
          <w:r>
            <w:t>21</w:t>
          </w:r>
          <w:r>
            <w:fldChar w:fldCharType="end"/>
          </w:r>
          <w:r>
            <w:rPr>
              <w:szCs w:val="28"/>
            </w:rPr>
            <w:fldChar w:fldCharType="end"/>
          </w:r>
        </w:p>
        <w:p w14:paraId="6E8B5F9C">
          <w:pPr>
            <w:pStyle w:val="9"/>
            <w:tabs>
              <w:tab w:val="right" w:leader="dot" w:pos="8306"/>
            </w:tabs>
          </w:pPr>
          <w:r>
            <w:rPr>
              <w:szCs w:val="28"/>
            </w:rPr>
            <w:fldChar w:fldCharType="begin"/>
          </w:r>
          <w:r>
            <w:rPr>
              <w:szCs w:val="28"/>
            </w:rPr>
            <w:instrText xml:space="preserve"> HYPERLINK \l _Toc21989 </w:instrText>
          </w:r>
          <w:r>
            <w:rPr>
              <w:szCs w:val="28"/>
            </w:rPr>
            <w:fldChar w:fldCharType="separate"/>
          </w:r>
          <w:r>
            <w:rPr>
              <w:rFonts w:hint="eastAsia"/>
              <w:lang w:val="en-US" w:eastAsia="zh-CN"/>
            </w:rPr>
            <w:t>十一、 结语</w:t>
          </w:r>
          <w:r>
            <w:tab/>
          </w:r>
          <w:r>
            <w:fldChar w:fldCharType="begin"/>
          </w:r>
          <w:r>
            <w:instrText xml:space="preserve"> PAGEREF _Toc21989 \h </w:instrText>
          </w:r>
          <w:r>
            <w:fldChar w:fldCharType="separate"/>
          </w:r>
          <w:r>
            <w:t>22</w:t>
          </w:r>
          <w:r>
            <w:fldChar w:fldCharType="end"/>
          </w:r>
          <w:r>
            <w:rPr>
              <w:szCs w:val="28"/>
            </w:rPr>
            <w:fldChar w:fldCharType="end"/>
          </w:r>
        </w:p>
        <w:p w14:paraId="6A8948CD">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sectPr>
              <w:pgSz w:w="11906" w:h="16838"/>
              <w:pgMar w:top="1440" w:right="1800" w:bottom="1440" w:left="1800" w:header="851" w:footer="992" w:gutter="0"/>
              <w:cols w:space="425" w:num="1"/>
              <w:docGrid w:type="lines" w:linePitch="312" w:charSpace="0"/>
            </w:sectPr>
          </w:pPr>
          <w:r>
            <w:rPr>
              <w:szCs w:val="28"/>
            </w:rPr>
            <w:fldChar w:fldCharType="end"/>
          </w:r>
        </w:p>
      </w:sdtContent>
    </w:sdt>
    <w:p w14:paraId="1224C98F">
      <w:pPr>
        <w:pStyle w:val="2"/>
        <w:numPr>
          <w:ilvl w:val="0"/>
          <w:numId w:val="0"/>
        </w:numPr>
        <w:bidi w:val="0"/>
        <w:jc w:val="left"/>
        <w:rPr>
          <w:rFonts w:hint="default"/>
          <w:lang w:val="en-US" w:eastAsia="zh-CN"/>
        </w:rPr>
      </w:pPr>
      <w:bookmarkStart w:id="2" w:name="_Toc10246"/>
      <w:r>
        <w:rPr>
          <w:rFonts w:hint="eastAsia"/>
          <w:lang w:val="en-US" w:eastAsia="zh-CN"/>
        </w:rPr>
        <w:t>一、</w:t>
      </w:r>
      <w:r>
        <w:rPr>
          <w:rFonts w:hint="default"/>
          <w:lang w:val="en-US" w:eastAsia="zh-CN"/>
        </w:rPr>
        <w:t>组织所处环境与社会责任议题识别</w:t>
      </w:r>
      <w:bookmarkEnd w:id="2"/>
    </w:p>
    <w:p w14:paraId="768B1DA5">
      <w:pPr>
        <w:pStyle w:val="3"/>
        <w:bidi w:val="0"/>
        <w:rPr>
          <w:rFonts w:hint="default"/>
          <w:lang w:val="en-US" w:eastAsia="zh-CN"/>
        </w:rPr>
      </w:pPr>
      <w:bookmarkStart w:id="3" w:name="_Toc29677"/>
      <w:r>
        <w:rPr>
          <w:rFonts w:hint="default"/>
          <w:lang w:val="en-US" w:eastAsia="zh-CN"/>
        </w:rPr>
        <w:t>1.1 组织特征与社会责任关联</w:t>
      </w:r>
      <w:bookmarkEnd w:id="3"/>
    </w:p>
    <w:p w14:paraId="36A9577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徐州市永康电子科技有限公司自2005年成立以来，已发展成为一家集研发、制造、销售与服务于一体的国家高新技术企业和江苏省专精特新中小企业。我们的组织特征深刻地定义了社会责任的内涵与方向，二者紧密关联、相辅相成，具体体现在以下层面：</w:t>
      </w:r>
    </w:p>
    <w:p w14:paraId="56561B0E">
      <w:pPr>
        <w:numPr>
          <w:ilvl w:val="0"/>
          <w:numId w:val="0"/>
        </w:numPr>
        <w:ind w:leftChars="0"/>
        <w:rPr>
          <w:rFonts w:hint="default"/>
          <w:b/>
          <w:bCs/>
          <w:lang w:val="en-US" w:eastAsia="zh-CN"/>
        </w:rPr>
      </w:pPr>
      <w:r>
        <w:rPr>
          <w:rFonts w:hint="eastAsia" w:ascii="微软雅黑" w:hAnsi="微软雅黑" w:eastAsia="微软雅黑" w:cs="微软雅黑"/>
          <w:b/>
          <w:bCs/>
          <w:lang w:val="en-US" w:eastAsia="zh-CN"/>
        </w:rPr>
        <w:t>●</w:t>
      </w:r>
      <w:r>
        <w:rPr>
          <w:rFonts w:hint="default"/>
          <w:b/>
          <w:bCs/>
          <w:lang w:val="en-US" w:eastAsia="zh-CN"/>
        </w:rPr>
        <w:t>行业属性与产品责任：</w:t>
      </w:r>
    </w:p>
    <w:p w14:paraId="03D2AE57">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default"/>
          <w:b w:val="0"/>
          <w:bCs w:val="0"/>
          <w:lang w:val="en-US" w:eastAsia="zh-CN"/>
        </w:rPr>
      </w:pPr>
      <w:r>
        <w:rPr>
          <w:rFonts w:hint="default"/>
          <w:b w:val="0"/>
          <w:bCs w:val="0"/>
          <w:lang w:val="en-US" w:eastAsia="zh-CN"/>
        </w:rPr>
        <w:t>公司专注于家用、医用及宠物医疗设备的研发、制造与销售，产品直接关系用户生命健康与安全。这一特征决定了公司必须将产品质量与安全作为首要社会责任，严格执行国内外法规与标准（如CFDA、FDA、CE认证），确保产品安全可靠，履行“为全球家庭提供健康守护”的品牌使命。</w:t>
      </w:r>
    </w:p>
    <w:p w14:paraId="75022A50">
      <w:pPr>
        <w:numPr>
          <w:ilvl w:val="0"/>
          <w:numId w:val="0"/>
        </w:numPr>
        <w:ind w:leftChars="0"/>
        <w:rPr>
          <w:rFonts w:hint="default"/>
          <w:b/>
          <w:bCs/>
          <w:lang w:val="en-US" w:eastAsia="zh-CN"/>
        </w:rPr>
      </w:pPr>
      <w:r>
        <w:rPr>
          <w:rFonts w:hint="eastAsia" w:ascii="微软雅黑" w:hAnsi="微软雅黑" w:eastAsia="微软雅黑" w:cs="微软雅黑"/>
          <w:b/>
          <w:bCs/>
          <w:lang w:val="en-US" w:eastAsia="zh-CN"/>
        </w:rPr>
        <w:t>●</w:t>
      </w:r>
      <w:r>
        <w:rPr>
          <w:rFonts w:hint="default"/>
          <w:b/>
          <w:bCs/>
          <w:lang w:val="en-US" w:eastAsia="zh-CN"/>
        </w:rPr>
        <w:t>技术驱动与创新责任：</w:t>
      </w:r>
    </w:p>
    <w:p w14:paraId="5DBA35E5">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default"/>
          <w:lang w:val="en-US" w:eastAsia="zh-CN"/>
        </w:rPr>
      </w:pPr>
      <w:r>
        <w:rPr>
          <w:rFonts w:hint="default"/>
          <w:lang w:val="en-US" w:eastAsia="zh-CN"/>
        </w:rPr>
        <w:t>作为国家高新技术企业、江苏省专精特新中小企业，公司拥有省级工程技术研究中心等研发平台和300余项知识产权。这一特征要求公司承担推动行业技术进步、保障知识产权、促进公共健康的社会责任，通过持续创新提升产品性能与用户体验，助力慢病管理、智慧病房等解决方案的普及。</w:t>
      </w:r>
    </w:p>
    <w:p w14:paraId="7E3BF462">
      <w:pPr>
        <w:rPr>
          <w:rFonts w:hint="default"/>
          <w:lang w:val="en-US" w:eastAsia="zh-CN"/>
        </w:rPr>
      </w:pPr>
    </w:p>
    <w:p w14:paraId="59176D66">
      <w:pPr>
        <w:rPr>
          <w:rFonts w:hint="default"/>
          <w:lang w:val="en-US" w:eastAsia="zh-CN"/>
        </w:rPr>
      </w:pPr>
    </w:p>
    <w:p w14:paraId="2428194D">
      <w:pPr>
        <w:rPr>
          <w:rFonts w:hint="default"/>
          <w:lang w:val="en-US" w:eastAsia="zh-CN"/>
        </w:rPr>
      </w:pPr>
      <w:r>
        <w:rPr>
          <w:rFonts w:hint="eastAsia" w:ascii="微软雅黑" w:hAnsi="微软雅黑" w:eastAsia="微软雅黑" w:cs="微软雅黑"/>
          <w:b/>
          <w:bCs/>
          <w:lang w:val="en-US" w:eastAsia="zh-CN"/>
        </w:rPr>
        <w:t>●</w:t>
      </w:r>
      <w:r>
        <w:rPr>
          <w:rFonts w:hint="eastAsia"/>
          <w:b/>
          <w:bCs/>
          <w:lang w:val="en-US" w:eastAsia="zh-CN"/>
        </w:rPr>
        <w:t>.</w:t>
      </w:r>
      <w:r>
        <w:rPr>
          <w:rFonts w:hint="default"/>
          <w:b/>
          <w:bCs/>
          <w:lang w:val="en-US" w:eastAsia="zh-CN"/>
        </w:rPr>
        <w:t>制造实体与环保责任：</w:t>
      </w:r>
      <w:r>
        <w:rPr>
          <w:rFonts w:hint="default"/>
          <w:lang w:val="en-US" w:eastAsia="zh-CN"/>
        </w:rPr>
        <w:br w:type="textWrapping"/>
      </w:r>
      <w:r>
        <w:rPr>
          <w:rFonts w:hint="default"/>
          <w:lang w:val="en-US" w:eastAsia="zh-CN"/>
        </w:rPr>
        <w:t>公司拥有近4万平方米的智能制造基地，涵盖模具、注塑、贴片、组装等完整产业链。这一实体制造特征意味着公司在资源消耗、废弃物管理、节能减排等方面具有直接环境影响。因此，公司必须建立并实施环境管理体系（ISO14001），推行绿色制造，最小化生产活动对环境的负面影响。</w:t>
      </w:r>
    </w:p>
    <w:p w14:paraId="4D551E2A">
      <w:pPr>
        <w:rPr>
          <w:rFonts w:hint="default"/>
          <w:lang w:val="en-US" w:eastAsia="zh-CN"/>
        </w:rPr>
      </w:pPr>
      <w:r>
        <w:rPr>
          <w:rFonts w:hint="eastAsia" w:ascii="微软雅黑" w:hAnsi="微软雅黑" w:eastAsia="微软雅黑" w:cs="微软雅黑"/>
          <w:b/>
          <w:bCs/>
          <w:lang w:val="en-US" w:eastAsia="zh-CN"/>
        </w:rPr>
        <w:t>●</w:t>
      </w:r>
      <w:r>
        <w:rPr>
          <w:rFonts w:hint="default"/>
          <w:b/>
          <w:bCs/>
          <w:lang w:val="en-US" w:eastAsia="zh-CN"/>
        </w:rPr>
        <w:t>全球市场与合规责任：</w:t>
      </w:r>
      <w:r>
        <w:rPr>
          <w:rFonts w:hint="default"/>
          <w:lang w:val="en-US" w:eastAsia="zh-CN"/>
        </w:rPr>
        <w:br w:type="textWrapping"/>
      </w:r>
      <w:r>
        <w:rPr>
          <w:rFonts w:hint="default"/>
          <w:lang w:val="en-US" w:eastAsia="zh-CN"/>
        </w:rPr>
        <w:t>产品行销全球140多个国家和地区，外贸占比70%。这一全球化特征要求公司必须遵守不同市场的法律法规、文化习俗和商业伦理，承担国际合规、公平贸易、尊重人权等社会责任，并在全球范围内传递中国企业的负责任形象。</w:t>
      </w:r>
    </w:p>
    <w:p w14:paraId="5100DF9A">
      <w:pPr>
        <w:rPr>
          <w:rFonts w:hint="default"/>
          <w:lang w:val="en-US" w:eastAsia="zh-CN"/>
        </w:rPr>
      </w:pPr>
      <w:r>
        <w:rPr>
          <w:rFonts w:hint="eastAsia" w:ascii="微软雅黑" w:hAnsi="微软雅黑" w:eastAsia="微软雅黑" w:cs="微软雅黑"/>
          <w:b/>
          <w:bCs/>
          <w:lang w:val="en-US" w:eastAsia="zh-CN"/>
        </w:rPr>
        <w:t>●</w:t>
      </w:r>
      <w:r>
        <w:rPr>
          <w:rFonts w:hint="default"/>
          <w:b/>
          <w:bCs/>
          <w:lang w:val="en-US" w:eastAsia="zh-CN"/>
        </w:rPr>
        <w:t>员工规模与权益保障责任：</w:t>
      </w:r>
      <w:r>
        <w:rPr>
          <w:rFonts w:hint="default"/>
          <w:lang w:val="en-US" w:eastAsia="zh-CN"/>
        </w:rPr>
        <w:br w:type="textWrapping"/>
      </w:r>
      <w:r>
        <w:rPr>
          <w:rFonts w:hint="default"/>
          <w:lang w:val="en-US" w:eastAsia="zh-CN"/>
        </w:rPr>
        <w:t>作为徐州市最大的医疗设备生产企业，公司员工规模较大，结构多元。这一特征要求公司必须建立健全员工权益保障、职业健康安全、培训与发展机制，确保员工在企业中的合法权益得到充分尊重和保障。</w:t>
      </w:r>
    </w:p>
    <w:p w14:paraId="2E5BB14C">
      <w:pPr>
        <w:rPr>
          <w:rFonts w:hint="default"/>
          <w:lang w:val="en-US" w:eastAsia="zh-CN"/>
        </w:rPr>
      </w:pPr>
      <w:r>
        <w:rPr>
          <w:rFonts w:hint="eastAsia" w:ascii="微软雅黑" w:hAnsi="微软雅黑" w:eastAsia="微软雅黑" w:cs="微软雅黑"/>
          <w:b/>
          <w:bCs/>
          <w:lang w:val="en-US" w:eastAsia="zh-CN"/>
        </w:rPr>
        <w:t>●</w:t>
      </w:r>
      <w:r>
        <w:rPr>
          <w:rFonts w:hint="default"/>
          <w:b/>
          <w:bCs/>
          <w:lang w:val="en-US" w:eastAsia="zh-CN"/>
        </w:rPr>
        <w:t>产业链位置与供应链责任：</w:t>
      </w:r>
      <w:r>
        <w:rPr>
          <w:rFonts w:hint="default"/>
          <w:lang w:val="en-US" w:eastAsia="zh-CN"/>
        </w:rPr>
        <w:br w:type="textWrapping"/>
      </w:r>
      <w:r>
        <w:rPr>
          <w:rFonts w:hint="default"/>
          <w:lang w:val="en-US" w:eastAsia="zh-CN"/>
        </w:rPr>
        <w:t>公司处于医疗器械产业链中游，具备较强的供应链整合能力。这一特征要求公司不仅自身履行社会责任，还需在供应商管理、外包控制、采购合规等方面发挥影响力，推动上下游合作伙伴共同践行社会责任。</w:t>
      </w:r>
    </w:p>
    <w:p w14:paraId="1019083D">
      <w:pPr>
        <w:pStyle w:val="3"/>
        <w:bidi w:val="0"/>
        <w:rPr>
          <w:rFonts w:hint="default"/>
          <w:lang w:val="en-US" w:eastAsia="zh-CN"/>
        </w:rPr>
      </w:pPr>
      <w:bookmarkStart w:id="4" w:name="_Toc31768"/>
      <w:r>
        <w:rPr>
          <w:rFonts w:hint="default"/>
          <w:lang w:val="en-US" w:eastAsia="zh-CN"/>
        </w:rPr>
        <w:t>1.2 关键社会责任议题辨识</w:t>
      </w:r>
      <w:bookmarkEnd w:id="4"/>
    </w:p>
    <w:p w14:paraId="752C9D9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公司建立社会责任议题辨识过程，结合医疗器械行业特性及利益相关方需求，确定核心议题及优先顺序：</w:t>
      </w:r>
    </w:p>
    <w:p w14:paraId="676FC59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核心议题：组织治理（合规与透明运营）、产品质量安全（消费者权益）、员工职业健康（劳工实践）、供应链责任（公平运行）、社区医疗支持（社区参与）；</w:t>
      </w:r>
    </w:p>
    <w:p w14:paraId="20F7EBC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优先事项：产品质量安全（直接关联患者健康，合规风险高）、员工职业健康（生产环节存在焊接、电子加工等风险点），并将议题应对纳入质量手册 “风险管理控制程序”，如产品质量安全通过全生命周期风险管理实现，员工职业健康通过 “基础设施和工作环境控制程序” 保障。</w:t>
      </w:r>
    </w:p>
    <w:p w14:paraId="476C7226">
      <w:pPr>
        <w:pStyle w:val="3"/>
        <w:bidi w:val="0"/>
        <w:rPr>
          <w:rFonts w:hint="default"/>
          <w:lang w:val="en-US" w:eastAsia="zh-CN"/>
        </w:rPr>
      </w:pPr>
      <w:bookmarkStart w:id="5" w:name="_Toc22243"/>
      <w:r>
        <w:rPr>
          <w:rFonts w:hint="default"/>
          <w:lang w:val="en-US" w:eastAsia="zh-CN"/>
        </w:rPr>
        <w:t>1.3 确定社会责任管理体系范围</w:t>
      </w:r>
      <w:bookmarkEnd w:id="5"/>
    </w:p>
    <w:p w14:paraId="2770380E">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ind w:left="0" w:right="0" w:firstLine="560" w:firstLineChars="200"/>
        <w:textAlignment w:val="auto"/>
        <w:rPr>
          <w:rFonts w:hint="default" w:eastAsia="宋体" w:asciiTheme="minorAscii" w:hAnsiTheme="minorAscii" w:cstheme="minorBidi"/>
          <w:kern w:val="2"/>
          <w:sz w:val="28"/>
          <w:szCs w:val="24"/>
          <w:lang w:val="en-US" w:eastAsia="zh-CN" w:bidi="ar-SA"/>
        </w:rPr>
      </w:pPr>
      <w:r>
        <w:rPr>
          <w:rFonts w:hint="default" w:eastAsia="宋体" w:asciiTheme="minorAscii" w:hAnsiTheme="minorAscii" w:cstheme="minorBidi"/>
          <w:kern w:val="2"/>
          <w:sz w:val="28"/>
          <w:szCs w:val="24"/>
          <w:lang w:val="en-US" w:eastAsia="zh-CN" w:bidi="ar-SA"/>
        </w:rPr>
        <w:t>本公司社会责任管理体系覆盖徐州市经济开发区软件园明阳广场C1楼12层总部及联东U谷徐州经开智造产业园近4万平方米智能制造基地的所有运营活动、产品和服务。体系已与现有的ISO9001、ISO13485、ISO14001、ISO45001等管理体系实现有效融合与协同。</w:t>
      </w:r>
    </w:p>
    <w:p w14:paraId="08070512">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b/>
          <w:lang w:val="en-US" w:eastAsia="zh-CN"/>
        </w:rPr>
      </w:pPr>
      <w:bookmarkStart w:id="6" w:name="_Toc1996"/>
      <w:r>
        <w:rPr>
          <w:rFonts w:hint="eastAsia"/>
          <w:b/>
          <w:lang w:val="en-US" w:eastAsia="zh-CN"/>
        </w:rPr>
        <w:t>二、</w:t>
      </w:r>
      <w:r>
        <w:rPr>
          <w:rFonts w:hint="default"/>
          <w:b/>
          <w:lang w:val="en-US" w:eastAsia="zh-CN"/>
        </w:rPr>
        <w:t>领导作用与治理架构</w:t>
      </w:r>
      <w:bookmarkEnd w:id="6"/>
    </w:p>
    <w:p w14:paraId="3B0931AF">
      <w:pPr>
        <w:pStyle w:val="3"/>
        <w:bidi w:val="0"/>
        <w:rPr>
          <w:rFonts w:hint="default"/>
          <w:lang w:val="en-US" w:eastAsia="zh-CN"/>
        </w:rPr>
      </w:pPr>
      <w:bookmarkStart w:id="7" w:name="_Toc8102"/>
      <w:r>
        <w:rPr>
          <w:rFonts w:hint="default"/>
          <w:lang w:val="en-US" w:eastAsia="zh-CN"/>
        </w:rPr>
        <w:t>2.1 领导承诺与社会责任方针</w:t>
      </w:r>
      <w:bookmarkEnd w:id="7"/>
    </w:p>
    <w:p w14:paraId="1B706F8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领导承诺：</w:t>
      </w:r>
      <w:r>
        <w:rPr>
          <w:rFonts w:hint="default"/>
          <w:lang w:val="en-US" w:eastAsia="zh-CN"/>
        </w:rPr>
        <w:t>总经理通过以下活动对其建立和实施质量管理体系并保持其有效性的承诺提供证据:</w:t>
      </w:r>
    </w:p>
    <w:p w14:paraId="78462E5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1.</w:t>
      </w:r>
      <w:r>
        <w:rPr>
          <w:rFonts w:hint="default"/>
          <w:lang w:val="en-US" w:eastAsia="zh-CN"/>
        </w:rPr>
        <w:t>采用多种形式向公司的员工传达满足顾客和法律法规要求对公司的成功至关重要性，通过产品实现的各过程加以实施。</w:t>
      </w:r>
    </w:p>
    <w:p w14:paraId="0AF7A4D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2.</w:t>
      </w:r>
      <w:r>
        <w:rPr>
          <w:rFonts w:hint="default"/>
          <w:lang w:val="en-US" w:eastAsia="zh-CN"/>
        </w:rPr>
        <w:t>总经理负责制定适合公司自身的质量方针和质量目标,并确保质量目标在公司的相关部门和层次上得以分解实施。</w:t>
      </w:r>
    </w:p>
    <w:p w14:paraId="351A23A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3.</w:t>
      </w:r>
      <w:r>
        <w:rPr>
          <w:rFonts w:hint="default"/>
          <w:lang w:val="en-US" w:eastAsia="zh-CN"/>
        </w:rPr>
        <w:t xml:space="preserve">总经理按计划的时间间隔主持管理评审，执行《管理评审控制程序》。 </w:t>
      </w:r>
    </w:p>
    <w:p w14:paraId="3012A52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4.</w:t>
      </w:r>
      <w:r>
        <w:rPr>
          <w:rFonts w:hint="default"/>
          <w:lang w:val="en-US" w:eastAsia="zh-CN"/>
        </w:rPr>
        <w:t>总经理应确保本公司质量管理体系运作能获得必要的资源。</w:t>
      </w:r>
    </w:p>
    <w:p w14:paraId="55076B6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质量方针：</w:t>
      </w:r>
      <w:r>
        <w:rPr>
          <w:rFonts w:hint="default"/>
          <w:lang w:val="en-US" w:eastAsia="zh-CN"/>
        </w:rPr>
        <w:t>科学的质量管理，可靠的医疗产品，优质的售后服务，良好的市场信誉。</w:t>
      </w:r>
    </w:p>
    <w:p w14:paraId="232ACA49">
      <w:pPr>
        <w:pStyle w:val="3"/>
        <w:bidi w:val="0"/>
        <w:rPr>
          <w:rFonts w:hint="default"/>
          <w:lang w:val="en-US" w:eastAsia="zh-CN"/>
        </w:rPr>
      </w:pPr>
      <w:bookmarkStart w:id="8" w:name="_Toc19718"/>
      <w:r>
        <w:rPr>
          <w:rFonts w:hint="default"/>
          <w:lang w:val="en-US" w:eastAsia="zh-CN"/>
        </w:rPr>
        <w:t>2.2 组织架构与职责分工</w:t>
      </w:r>
      <w:bookmarkEnd w:id="8"/>
    </w:p>
    <w:p w14:paraId="27FCDC24">
      <w:pPr>
        <w:numPr>
          <w:ilvl w:val="0"/>
          <w:numId w:val="0"/>
        </w:numPr>
        <w:ind w:leftChars="0"/>
        <w:rPr>
          <w:rFonts w:hint="default"/>
          <w:lang w:val="en-US" w:eastAsia="zh-CN"/>
        </w:rPr>
      </w:pPr>
    </w:p>
    <w:p w14:paraId="415FE1A0">
      <w:pPr>
        <w:numPr>
          <w:ilvl w:val="0"/>
          <w:numId w:val="0"/>
        </w:numPr>
        <w:ind w:leftChars="0"/>
        <w:rPr>
          <w:rFonts w:hint="default"/>
          <w:lang w:val="en-US" w:eastAsia="zh-CN"/>
        </w:rPr>
      </w:pPr>
      <w:r>
        <w:rPr>
          <w:rFonts w:hint="default"/>
          <w:lang w:val="en-US" w:eastAsia="zh-CN"/>
        </w:rPr>
        <w:drawing>
          <wp:inline distT="0" distB="0" distL="114300" distR="114300">
            <wp:extent cx="5307330" cy="2824480"/>
            <wp:effectExtent l="0" t="0" r="1270" b="7620"/>
            <wp:docPr id="1" name="图片 1" descr="dda76528-3d3e-464b-888a-5dcc4f524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a76528-3d3e-464b-888a-5dcc4f524b43"/>
                    <pic:cNvPicPr>
                      <a:picLocks noChangeAspect="1"/>
                    </pic:cNvPicPr>
                  </pic:nvPicPr>
                  <pic:blipFill>
                    <a:blip r:embed="rId6"/>
                    <a:srcRect l="4823" t="365" r="14480" b="-365"/>
                    <a:stretch>
                      <a:fillRect/>
                    </a:stretch>
                  </pic:blipFill>
                  <pic:spPr>
                    <a:xfrm>
                      <a:off x="0" y="0"/>
                      <a:ext cx="5307330" cy="2824480"/>
                    </a:xfrm>
                    <a:prstGeom prst="rect">
                      <a:avLst/>
                    </a:prstGeom>
                  </pic:spPr>
                </pic:pic>
              </a:graphicData>
            </a:graphic>
          </wp:inline>
        </w:drawing>
      </w:r>
    </w:p>
    <w:p w14:paraId="7BB07B1C">
      <w:pPr>
        <w:numPr>
          <w:ilvl w:val="0"/>
          <w:numId w:val="0"/>
        </w:numPr>
        <w:ind w:leftChars="0"/>
        <w:rPr>
          <w:rFonts w:hint="default"/>
          <w:lang w:val="en-US" w:eastAsia="zh-CN"/>
        </w:rPr>
      </w:pPr>
    </w:p>
    <w:p w14:paraId="754BE84D">
      <w:pPr>
        <w:pStyle w:val="2"/>
        <w:keepNext w:val="0"/>
        <w:keepLines w:val="0"/>
        <w:pageBreakBefore w:val="0"/>
        <w:widowControl w:val="0"/>
        <w:numPr>
          <w:ilvl w:val="0"/>
          <w:numId w:val="1"/>
        </w:numPr>
        <w:kinsoku/>
        <w:wordWrap/>
        <w:overflowPunct/>
        <w:topLinePunct w:val="0"/>
        <w:autoSpaceDE/>
        <w:autoSpaceDN/>
        <w:bidi w:val="0"/>
        <w:adjustRightInd/>
        <w:snapToGrid/>
        <w:ind w:leftChars="0"/>
        <w:textAlignment w:val="auto"/>
        <w:rPr>
          <w:rFonts w:hint="eastAsia"/>
          <w:b/>
          <w:lang w:val="en-US" w:eastAsia="zh-CN"/>
        </w:rPr>
      </w:pPr>
      <w:bookmarkStart w:id="9" w:name="_Toc18440"/>
      <w:r>
        <w:rPr>
          <w:rFonts w:hint="eastAsia"/>
          <w:b/>
          <w:lang w:val="en-US" w:eastAsia="zh-CN"/>
        </w:rPr>
        <w:t>经营状况与可持续发展</w:t>
      </w:r>
      <w:bookmarkEnd w:id="9"/>
    </w:p>
    <w:p w14:paraId="7177A1F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2024年，徐州市永康电子科技有限公司在复杂多变的全球经济环境中，坚持稳健经营与可持续发展并重的策略，积极应对市场挑战，持续推进技术创新与质量管理，努力实现经济效益、社会效益与环境效益的协同发展。主营业务涵盖家用医疗器械（指夹式血氧仪、电子血压仪、制氧机、雾化器等）、医用医疗器械（生命体征监测系列、智能输注系列、POC超声系列等）和宠物医疗设备（宠物监护仪、注射泵、B超机等）三大版块，重点发展慢病管理解决方案、智慧病房解决方案、疼痛康复解决方案、宠物医疗解决方案。</w:t>
      </w:r>
    </w:p>
    <w:p w14:paraId="7917DD1F">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0" w:name="_Toc26577"/>
      <w:r>
        <w:rPr>
          <w:rFonts w:hint="eastAsia"/>
          <w:b/>
          <w:lang w:val="en-US" w:eastAsia="zh-CN"/>
        </w:rPr>
        <w:t>3.1 经营业绩概况</w:t>
      </w:r>
      <w:bookmarkEnd w:id="10"/>
    </w:p>
    <w:p w14:paraId="47812C4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2024年度，公司实现营业收入12,803.22万元，公司通过优化产品结构、拓展新兴市场、加强成本控制等措施，保持了基本盘的稳定。公司全年实际缴纳税费合计443.68万元，积极履行纳税义务，支持地方经济发展。主要受研发投入加大、国际市场拓展成本上升及资产减值等因素影响，公司仍坚持长期主义发展理念，持续投入技术创新与人才建设，为未来可持续发展奠定基础。</w:t>
      </w:r>
    </w:p>
    <w:p w14:paraId="4D06D686">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1" w:name="_Toc18299"/>
      <w:r>
        <w:rPr>
          <w:rFonts w:hint="eastAsia"/>
          <w:b/>
          <w:lang w:val="en-US" w:eastAsia="zh-CN"/>
        </w:rPr>
        <w:t>3.2研发与创新投入</w:t>
      </w:r>
      <w:bookmarkEnd w:id="11"/>
    </w:p>
    <w:p w14:paraId="1C74350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高度重视研发创新，2024年研发费用投入达1,131.81万元，占营业收入比重达8.84%，高于行业平均水平。公司持续加强在智能医疗、物联网健康管理等领域的研发力度，推动产品迭代与技术升级，增强市场竞争力。</w:t>
      </w:r>
    </w:p>
    <w:p w14:paraId="783DFC54">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2" w:name="_Toc22297"/>
      <w:r>
        <w:rPr>
          <w:rFonts w:hint="eastAsia"/>
          <w:b/>
          <w:lang w:val="en-US" w:eastAsia="zh-CN"/>
        </w:rPr>
        <w:t>3.3 可持续发展战略</w:t>
      </w:r>
      <w:bookmarkEnd w:id="12"/>
    </w:p>
    <w:p w14:paraId="7391FE1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公司始终将可持续发展理念融入经营决策中，具体体现在：</w:t>
      </w:r>
    </w:p>
    <w:p w14:paraId="571EDA4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绿色制造：推行节能降耗、废弃物资源化利用，降低环境负荷；</w:t>
      </w:r>
    </w:p>
    <w:p w14:paraId="7F04C5E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合规经营：严格遵守国内外法律法规，保障产品质量与消费者权益；</w:t>
      </w:r>
    </w:p>
    <w:p w14:paraId="41D9773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员工成长：建立健全培训与激励机制，提升员工综合素质与归属感；</w:t>
      </w:r>
    </w:p>
    <w:p w14:paraId="5CEC5A5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供应链责任：推动供应商践行社会责任，共建可持续供应链生态。</w:t>
      </w:r>
    </w:p>
    <w:p w14:paraId="6FBADE40">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lang w:val="en-US" w:eastAsia="zh-CN"/>
        </w:rPr>
      </w:pPr>
      <w:bookmarkStart w:id="13" w:name="_Toc6496"/>
      <w:r>
        <w:rPr>
          <w:rFonts w:hint="eastAsia"/>
          <w:b/>
          <w:lang w:val="en-US" w:eastAsia="zh-CN"/>
        </w:rPr>
        <w:t>四、技术创新与知识产权管理</w:t>
      </w:r>
      <w:bookmarkEnd w:id="13"/>
    </w:p>
    <w:p w14:paraId="46769CC5">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4" w:name="_Toc18521"/>
      <w:r>
        <w:rPr>
          <w:rFonts w:hint="eastAsia"/>
          <w:b/>
          <w:lang w:val="en-US" w:eastAsia="zh-CN"/>
        </w:rPr>
        <w:t>4.1.技术管理</w:t>
      </w:r>
      <w:bookmarkEnd w:id="14"/>
    </w:p>
    <w:p w14:paraId="516B1E7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徐州市永康电子科技有限公司始终将技术创新作为企业发展的核心驱动力，建立了系统化、规范化的技术管理体系。公司依托省级工程技术研究中心等平台，构建了涵盖市场调研、技术预研、产品开发、测试验证、产业化的全流程研发机制。通过引入PLM（产品生命周期管理）系统，实现了从概念设计到量产的全过程数字化管理，确保技术开发的高效性与可追溯性。</w:t>
      </w:r>
    </w:p>
    <w:p w14:paraId="3D10DAA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公司高度重视技术标准的制定与贯彻，积极参与行业标准、国家标准的起草与修订工作，推动技术成果的标准化与产业化。同时，公司建立了严格的技术保密与信息安全制度，保障核心技术与研发数据的安全。</w:t>
      </w:r>
    </w:p>
    <w:p w14:paraId="47E82696">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5" w:name="_Toc15986"/>
      <w:r>
        <w:rPr>
          <w:rFonts w:hint="eastAsia"/>
          <w:b/>
          <w:lang w:val="en-US" w:eastAsia="zh-CN"/>
        </w:rPr>
        <w:t>4.2研发团队</w:t>
      </w:r>
      <w:bookmarkEnd w:id="15"/>
    </w:p>
    <w:p w14:paraId="6787BDB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公司拥有一支结构合理、专业齐全、经验丰富的研发团队，涵盖电子工程、软件算法、机械设计、临床医学等多学科背景。团队中高级职称及硕士以上学历人员占比超过30%，核心成员具备多年医疗器械研发经验。</w:t>
      </w:r>
    </w:p>
    <w:p w14:paraId="5B3F88B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注重研发人才的培养与激励，通过设立专项研发奖金、技术晋升通道、外部培训与学术交流等多种方式，激发研发人员的创新活力。同时，公司与多所高校及科研机构建立产学研合作机制，共同开展关键技术攻关与人才培养，不断提升团队的整体研发能力。</w:t>
      </w:r>
    </w:p>
    <w:p w14:paraId="1D67D52A">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6" w:name="_Toc26056"/>
      <w:r>
        <w:rPr>
          <w:rFonts w:hint="eastAsia"/>
          <w:b/>
          <w:lang w:val="en-US" w:eastAsia="zh-CN"/>
        </w:rPr>
        <w:t>4.3知识产权</w:t>
      </w:r>
      <w:bookmarkEnd w:id="16"/>
    </w:p>
    <w:p w14:paraId="2AD45FD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始终坚持“技术未动，知识产权先行”的战略理念，构建了完善的知识产权管理体系，涵盖知识产权的创造、运用、保护和管理全流程。截至2024年，公司累计拥有各类知识产权300余项，其中国内授权专利163项（发明专利8件、实用新型50件、外观设计105件），软件著作权20件；国际授权专利16件；授权商标116件。海外专利与商标占总量的13%以上，彰显了公司在全球化布局中的知识产权实力。</w:t>
      </w:r>
    </w:p>
    <w:p w14:paraId="1214BDD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高度重视知识产权的质量与布局，围绕核心产品与技术构建了多层次、多地域的专利池与商标网络，有效提升了产品的市场竞争力与品牌影响力。通过定期开展知识产权培训、建立侵权监控与应对机制、推进知识产权贯标等工作，公司于2023年获评“国家知识产权优势企业”，知识产权管理步入规范化、系统化轨道。</w:t>
      </w:r>
    </w:p>
    <w:p w14:paraId="11E0CC1F">
      <w:pPr>
        <w:pStyle w:val="2"/>
        <w:bidi w:val="0"/>
        <w:rPr>
          <w:rFonts w:hint="eastAsia"/>
          <w:lang w:val="en-US" w:eastAsia="zh-CN"/>
        </w:rPr>
      </w:pPr>
      <w:bookmarkStart w:id="17" w:name="_Toc23251"/>
      <w:r>
        <w:rPr>
          <w:rFonts w:hint="eastAsia"/>
          <w:lang w:val="en-US" w:eastAsia="zh-CN"/>
        </w:rPr>
        <w:t>五、信用建设与供应链管理</w:t>
      </w:r>
      <w:bookmarkEnd w:id="17"/>
    </w:p>
    <w:p w14:paraId="5B904022">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8" w:name="_Toc25278"/>
      <w:r>
        <w:rPr>
          <w:rFonts w:hint="eastAsia"/>
          <w:b/>
          <w:lang w:val="en-US" w:eastAsia="zh-CN"/>
        </w:rPr>
        <w:t>5.1企业信用建设</w:t>
      </w:r>
      <w:bookmarkEnd w:id="18"/>
    </w:p>
    <w:p w14:paraId="2CB1467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徐州永康电子科技有限公司始终将诚信经营作为企业立身之本，建立健全企业信用管理体系，持续提升企业公信力与市场声誉。</w:t>
      </w:r>
    </w:p>
    <w:p w14:paraId="2812370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主要内容可包括：</w:t>
      </w:r>
    </w:p>
    <w:p w14:paraId="0A1C518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信用制度建设：公司制定并实施《诚信经营管理办法》《反商业贿赂政策》等内部制度，明确员工行为规范与合规要求。</w:t>
      </w:r>
    </w:p>
    <w:p w14:paraId="1AAD531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合规经营与依法纳税：2024年公司实际缴纳税费443.68万元，连续多年被评为“A级纳税信用企业”，严格遵守财务、税务、市场监督等法律法规。</w:t>
      </w:r>
    </w:p>
    <w:p w14:paraId="544CBC0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合同履约与客户信用：全年合同履约率超过99%，建立客户信用评级机制，保障合作双方权益。</w:t>
      </w:r>
    </w:p>
    <w:p w14:paraId="455E921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信用文化建设：通过内部培训、宣传栏、企业文化建设活动等方式，强化全员信用意识，营造“重合同、守信用”的企业氛围。</w:t>
      </w:r>
    </w:p>
    <w:p w14:paraId="38E6F589">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9" w:name="_Toc23883"/>
      <w:r>
        <w:rPr>
          <w:rFonts w:hint="eastAsia"/>
          <w:b/>
          <w:lang w:val="en-US" w:eastAsia="zh-CN"/>
        </w:rPr>
        <w:t>5.2 供应商管理与社会责任</w:t>
      </w:r>
      <w:bookmarkEnd w:id="19"/>
    </w:p>
    <w:p w14:paraId="59456EC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公司秉承“责任共生、合作共赢”的供应链管理理念，将社会责任延伸至供应链各个环节，推动上下游合作伙伴共同践行可持续发展。</w:t>
      </w:r>
    </w:p>
    <w:p w14:paraId="723140B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主要内容可包括：</w:t>
      </w:r>
    </w:p>
    <w:p w14:paraId="10F3E08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lang w:val="en-US" w:eastAsia="zh-CN"/>
        </w:rPr>
      </w:pPr>
      <w:r>
        <w:rPr>
          <w:rFonts w:hint="eastAsia"/>
          <w:b/>
          <w:bCs/>
          <w:lang w:val="en-US" w:eastAsia="zh-CN"/>
        </w:rPr>
        <w:t>供应商准入与评估机制：</w:t>
      </w:r>
    </w:p>
    <w:p w14:paraId="1767DD8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建立《供应商准入标准》，涵盖质量、环境、劳工权益、商业道德等方面；</w:t>
      </w:r>
    </w:p>
    <w:p w14:paraId="02327D6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每年对供应商进行绩效评估，评估结果作为续约与合作升级的依据。</w:t>
      </w:r>
    </w:p>
    <w:p w14:paraId="563F46B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lang w:val="en-US" w:eastAsia="zh-CN"/>
        </w:rPr>
      </w:pPr>
      <w:r>
        <w:rPr>
          <w:rFonts w:hint="eastAsia"/>
          <w:b/>
          <w:bCs/>
          <w:lang w:val="en-US" w:eastAsia="zh-CN"/>
        </w:rPr>
        <w:t>供应商社会责任要求：</w:t>
      </w:r>
    </w:p>
    <w:p w14:paraId="0A43B5D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在与供应商签订的协议中明确社会责任条款，禁止使用童工、强制劳动，要求提供安全的工作环境、公平的薪酬等；</w:t>
      </w:r>
    </w:p>
    <w:p w14:paraId="2F32C26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推动关键供应商通过ISO9001、ISO14001、ISO45001等体系认证。</w:t>
      </w:r>
    </w:p>
    <w:p w14:paraId="22BAA39D">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lang w:val="en-US" w:eastAsia="zh-CN"/>
        </w:rPr>
      </w:pPr>
      <w:r>
        <w:rPr>
          <w:rFonts w:hint="eastAsia"/>
          <w:b/>
          <w:bCs/>
          <w:lang w:val="en-US" w:eastAsia="zh-CN"/>
        </w:rPr>
        <w:t>供应商培训与支持：</w:t>
      </w:r>
    </w:p>
    <w:p w14:paraId="1EE02EC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定期组织供应商培训，内容涵盖质量管理、环境管理、安全生产、社会责任等；</w:t>
      </w:r>
    </w:p>
    <w:p w14:paraId="0375A8C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对表现优秀的供应商给予订单倾斜、技术支持和长期合作优先权。</w:t>
      </w:r>
    </w:p>
    <w:p w14:paraId="45C181C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绿色供应链建设：</w:t>
      </w:r>
    </w:p>
    <w:p w14:paraId="4E074DF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优先选择环保型材料与包装，推动供应商减少碳排放与废弃物；</w:t>
      </w:r>
    </w:p>
    <w:p w14:paraId="0A8A341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逐步建立供应链碳足迹追踪机制，助力整体减排目标。</w:t>
      </w:r>
    </w:p>
    <w:p w14:paraId="3C6B2A1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风险管控与应急机制：</w:t>
      </w:r>
    </w:p>
    <w:p w14:paraId="0630856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建立供应链风险识别与应急预案，确保供应链的稳定性与韧性；</w:t>
      </w:r>
    </w:p>
    <w:p w14:paraId="67A0FC2D">
      <w:pPr>
        <w:rPr>
          <w:rFonts w:hint="eastAsia"/>
          <w:lang w:val="en-US" w:eastAsia="zh-CN"/>
        </w:rPr>
      </w:pPr>
      <w:r>
        <w:rPr>
          <w:rFonts w:hint="eastAsia"/>
          <w:lang w:val="en-US" w:eastAsia="zh-CN"/>
        </w:rPr>
        <w:t>对高风险地区或行业供应商开展专项审核与现场稽查。</w:t>
      </w:r>
    </w:p>
    <w:p w14:paraId="1CF771D3">
      <w:pPr>
        <w:pStyle w:val="2"/>
        <w:numPr>
          <w:ilvl w:val="0"/>
          <w:numId w:val="2"/>
        </w:numPr>
        <w:bidi w:val="0"/>
        <w:rPr>
          <w:rFonts w:hint="eastAsia"/>
          <w:lang w:val="en-US" w:eastAsia="zh-CN"/>
        </w:rPr>
      </w:pPr>
      <w:bookmarkStart w:id="20" w:name="_Toc8295"/>
      <w:r>
        <w:rPr>
          <w:rFonts w:hint="eastAsia"/>
          <w:lang w:val="en-US" w:eastAsia="zh-CN"/>
        </w:rPr>
        <w:t>环境管理与资源节约</w:t>
      </w:r>
      <w:bookmarkEnd w:id="20"/>
    </w:p>
    <w:p w14:paraId="1F1A0CF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徐州市永康电子科技有限公司深刻认识到环境保护是企业应尽的社会责任，也是实现可持续发展的基石。我们致力于将环境管理融入企业运营的各个环节，遵循“遵守法规、预防污染、节能降耗、持续改进”的环境方针，追求经济效益与环境效益的和谐统一。</w:t>
      </w:r>
    </w:p>
    <w:p w14:paraId="1A8B40B4">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bookmarkStart w:id="21" w:name="_Toc16825"/>
      <w:r>
        <w:rPr>
          <w:rFonts w:hint="eastAsia"/>
          <w:b/>
          <w:lang w:val="en-US" w:eastAsia="zh-CN"/>
        </w:rPr>
        <w:t>6</w:t>
      </w:r>
      <w:r>
        <w:rPr>
          <w:rFonts w:hint="default"/>
          <w:b/>
          <w:lang w:val="en-US" w:eastAsia="zh-CN"/>
        </w:rPr>
        <w:t>.</w:t>
      </w:r>
      <w:r>
        <w:rPr>
          <w:rFonts w:hint="eastAsia"/>
          <w:b/>
          <w:lang w:val="en-US" w:eastAsia="zh-CN"/>
        </w:rPr>
        <w:t>1</w:t>
      </w:r>
      <w:r>
        <w:rPr>
          <w:rFonts w:hint="default"/>
          <w:b/>
          <w:lang w:val="en-US" w:eastAsia="zh-CN"/>
        </w:rPr>
        <w:t>环境管理体系</w:t>
      </w:r>
      <w:bookmarkEnd w:id="21"/>
    </w:p>
    <w:p w14:paraId="2AA7879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公司已建立并持续维护符合 GB/T24001-2016 / ISO14001:2015 标准的环境管理体系（EMS），并通过了凯新认证（北京）有限公司的认证（注册号：06923E10324R0），体系运行有效，证书持续有效。</w:t>
      </w:r>
    </w:p>
    <w:p w14:paraId="494B571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367030</wp:posOffset>
            </wp:positionH>
            <wp:positionV relativeFrom="paragraph">
              <wp:posOffset>413385</wp:posOffset>
            </wp:positionV>
            <wp:extent cx="4803140" cy="6786245"/>
            <wp:effectExtent l="0" t="0" r="10160" b="8255"/>
            <wp:wrapTopAndBottom/>
            <wp:docPr id="4" name="图片 4" descr="14001中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001中文_01"/>
                    <pic:cNvPicPr>
                      <a:picLocks noChangeAspect="1"/>
                    </pic:cNvPicPr>
                  </pic:nvPicPr>
                  <pic:blipFill>
                    <a:blip r:embed="rId7"/>
                    <a:stretch>
                      <a:fillRect/>
                    </a:stretch>
                  </pic:blipFill>
                  <pic:spPr>
                    <a:xfrm>
                      <a:off x="0" y="0"/>
                      <a:ext cx="4803140" cy="6786245"/>
                    </a:xfrm>
                    <a:prstGeom prst="rect">
                      <a:avLst/>
                    </a:prstGeom>
                  </pic:spPr>
                </pic:pic>
              </a:graphicData>
            </a:graphic>
          </wp:anchor>
        </w:drawing>
      </w:r>
    </w:p>
    <w:p w14:paraId="4EDB5C0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体系核心要素包括：</w:t>
      </w:r>
    </w:p>
    <w:p w14:paraId="78024CC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系统化的管理框架：体系覆盖二类医疗器械（包括指夹式脉搏血氧仪、臂式电子血压计、腕式电子血压计、红外体温计、多普勒胎心仪、多参数监护仪、紫外线光疗仪、压电网式雾化器）的设计开发、生产和销售全过程的环境因素管理。</w:t>
      </w:r>
    </w:p>
    <w:p w14:paraId="4A6081D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领导承诺与方针：最高管理者承诺提供必要资源，确保体系有效运行和持续改进，并制定并传达公司的环境方针。</w:t>
      </w:r>
    </w:p>
    <w:p w14:paraId="1FB3A4A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风险思维与法规合规：系统性地识别和评价生产运营活动中的环境因素及风险，明确必须遵守的环保法律法规及其他要求，并确保合规。</w:t>
      </w:r>
    </w:p>
    <w:p w14:paraId="529067C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目标指标与管理方案：设立年度环境目标和指标（如能耗、废弃物减量化目标），并制定具体的实施方案，明确职责和时间表。</w:t>
      </w:r>
    </w:p>
    <w:p w14:paraId="7C78D3C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运行控制：对重要环境因素相关的运行活动（如废弃物处理、化学品管理、能源资源消耗、废水排放等）制定程序文件并加以控制，确保其在受控状态下进行。</w:t>
      </w:r>
    </w:p>
    <w:p w14:paraId="59E5A9D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应急准备与响应：制定潜在环境事故（如化学品泄漏、火灾等）的应急预案，并定期组织演练，以减轻可能伴随的环境影响。</w:t>
      </w:r>
    </w:p>
    <w:p w14:paraId="325DDC7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培训与意识：定期对员工进行环境保护意识、知识以及相关操作规程的培训，确保员工具备胜任能力并理解其环境责任。</w:t>
      </w:r>
    </w:p>
    <w:p w14:paraId="31D70F8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绩效评价与持续改进：通过内部审核、管理评审等手段监视、测量和分析环境绩效，对发现的不符合采取纠正措施，实现体系的持续改进。</w:t>
      </w:r>
    </w:p>
    <w:p w14:paraId="3AA04767">
      <w:pPr>
        <w:pStyle w:val="3"/>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b/>
          <w:lang w:val="en-US" w:eastAsia="zh-CN"/>
        </w:rPr>
      </w:pPr>
      <w:bookmarkStart w:id="22" w:name="_Toc21767"/>
      <w:r>
        <w:rPr>
          <w:rFonts w:hint="eastAsia"/>
          <w:b/>
          <w:lang w:val="en-US" w:eastAsia="zh-CN"/>
        </w:rPr>
        <w:t>6.2</w:t>
      </w:r>
      <w:r>
        <w:rPr>
          <w:rFonts w:hint="default"/>
          <w:b/>
          <w:lang w:val="en-US" w:eastAsia="zh-CN"/>
        </w:rPr>
        <w:t>资源综合利用</w:t>
      </w:r>
      <w:bookmarkEnd w:id="22"/>
    </w:p>
    <w:p w14:paraId="0D23D7F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公司积极践行绿色制造理念，将资源节约和综合利用作为环境管理的重要环节，致力于在生产经营中最大化资源效率，减少浪费。</w:t>
      </w:r>
    </w:p>
    <w:p w14:paraId="0DEEB9E8">
      <w:pPr>
        <w:rPr>
          <w:rFonts w:hint="default"/>
          <w:lang w:val="en-US" w:eastAsia="zh-CN"/>
        </w:rPr>
      </w:pPr>
      <w:r>
        <w:rPr>
          <w:rFonts w:hint="default"/>
          <w:lang w:val="en-US" w:eastAsia="zh-CN"/>
        </w:rPr>
        <w:t>主要实践与成效：</w:t>
      </w:r>
    </w:p>
    <w:p w14:paraId="77F4394D">
      <w:pPr>
        <w:rPr>
          <w:rFonts w:hint="default"/>
          <w:b/>
          <w:bCs/>
          <w:lang w:val="en-US" w:eastAsia="zh-CN"/>
        </w:rPr>
      </w:pPr>
      <w:r>
        <w:rPr>
          <w:rFonts w:hint="default"/>
          <w:b/>
          <w:bCs/>
          <w:lang w:val="en-US" w:eastAsia="zh-CN"/>
        </w:rPr>
        <w:t>能源资源管理：</w:t>
      </w:r>
    </w:p>
    <w:p w14:paraId="51150D9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节能措施：在生产基地采用高效节能的照明系统（如LED灯）、优化空压机等高能耗设备的运行逻辑，并对注塑机等设备进行节能改造，有效降低单位产品能耗。</w:t>
      </w:r>
    </w:p>
    <w:p w14:paraId="3F3FAAF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水资源管理：注重节约用水，通过加强设备维护、杜绝跑冒滴漏等管理措施减少水资源消耗。目前生产过程中无重大工业废水产生，生活污水经处理后达标排放。</w:t>
      </w:r>
    </w:p>
    <w:p w14:paraId="7CA49845">
      <w:pPr>
        <w:rPr>
          <w:rFonts w:hint="default"/>
          <w:b/>
          <w:bCs/>
          <w:lang w:val="en-US" w:eastAsia="zh-CN"/>
        </w:rPr>
      </w:pPr>
      <w:r>
        <w:rPr>
          <w:rFonts w:hint="default"/>
          <w:b/>
          <w:bCs/>
          <w:lang w:val="en-US" w:eastAsia="zh-CN"/>
        </w:rPr>
        <w:t>材料与包装减量化：</w:t>
      </w:r>
    </w:p>
    <w:p w14:paraId="1FF0B1C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在产品设计阶段即考虑环境因素，在保证产品安全和质量的前提下，致力于减少原材料的使用量。</w:t>
      </w:r>
    </w:p>
    <w:p w14:paraId="6F31482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推广使用可回收、可降解的环保包装材料，并优化包装设计，减少过度包装，降低废弃物产生。</w:t>
      </w:r>
    </w:p>
    <w:p w14:paraId="6FC9FB98">
      <w:pPr>
        <w:rPr>
          <w:rFonts w:hint="default"/>
          <w:b/>
          <w:bCs/>
          <w:lang w:val="en-US" w:eastAsia="zh-CN"/>
        </w:rPr>
      </w:pPr>
      <w:r>
        <w:rPr>
          <w:rFonts w:hint="default"/>
          <w:b/>
          <w:bCs/>
          <w:lang w:val="en-US" w:eastAsia="zh-CN"/>
        </w:rPr>
        <w:t>废弃物管理与循环利用：</w:t>
      </w:r>
    </w:p>
    <w:p w14:paraId="6570DEC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分类管理：严格实施废弃物分类制度，在生产区和办公区设置分类收集装置，对一般废弃物、可回收物（如纸箱、塑料、金属边角料）和危险废弃物（如废机油、含油抹布、废电子元件）进行严格区分和收集。</w:t>
      </w:r>
    </w:p>
    <w:p w14:paraId="492F982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资源化与合规处置：对可回收废弃物交由有资质的回收商进行资源化利用。对产生的危险废弃物，严格遵循《国家危险废物名录》及相关法规要求，委托持有危险废物经营许可证的合规单位进行无害化处置，确保转移联单齐全，全过程合规可控，最大限度降低环境风险。</w:t>
      </w:r>
    </w:p>
    <w:p w14:paraId="363C4F0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绿色采购：在采购环节，优先选择符合环保标准、提供环保材料的供应商，将环境绩效纳入供应商评估体系，共同推动绿色供应链建设。</w:t>
      </w:r>
    </w:p>
    <w:p w14:paraId="3D96D561">
      <w:pPr>
        <w:pStyle w:val="2"/>
        <w:numPr>
          <w:ilvl w:val="0"/>
          <w:numId w:val="2"/>
        </w:numPr>
        <w:bidi w:val="0"/>
        <w:ind w:left="0" w:leftChars="0" w:firstLine="0" w:firstLineChars="0"/>
        <w:rPr>
          <w:rFonts w:hint="eastAsia"/>
          <w:lang w:val="en-US" w:eastAsia="zh-CN"/>
        </w:rPr>
      </w:pPr>
      <w:bookmarkStart w:id="23" w:name="_Toc20417"/>
      <w:r>
        <w:rPr>
          <w:rFonts w:hint="eastAsia"/>
          <w:lang w:val="en-US" w:eastAsia="zh-CN"/>
        </w:rPr>
        <w:t>安全生产</w:t>
      </w:r>
      <w:bookmarkEnd w:id="23"/>
    </w:p>
    <w:p w14:paraId="5660435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徐州市永康电子科技有限公司始终将安全生产视为企业生存发展的生命线，特别是作为医疗器械生产企业，产品的安全性与生产过程的可靠性直接关系到患者的生命健康。我们坚持“安全第一、预防为主、综合治理”的方针，致力于构建科学、规范、高效的安全生产管理体系，为员工创造安全的工作环境，为产品质量提供坚实保障。</w:t>
      </w:r>
    </w:p>
    <w:p w14:paraId="2DA574FD">
      <w:pPr>
        <w:pStyle w:val="2"/>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eastAsia"/>
          <w:b/>
          <w:lang w:val="en-US" w:eastAsia="zh-CN"/>
        </w:rPr>
      </w:pPr>
      <w:bookmarkStart w:id="24" w:name="_Toc12886"/>
      <w:r>
        <w:rPr>
          <w:rFonts w:hint="eastAsia"/>
          <w:b/>
          <w:lang w:val="en-US" w:eastAsia="zh-CN"/>
        </w:rPr>
        <w:t>员工权益与发展</w:t>
      </w:r>
      <w:bookmarkEnd w:id="24"/>
    </w:p>
    <w:p w14:paraId="11450B1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员工是徐州市永康电子科技有限公司最宝贵的财富和持续发展的核心动力。我们始终秉持“以人为本、共同成长”的人才理念，严格遵守《劳动法》、《劳动合同法》等国家法律法规，致力于保障员工的合法权益，构建和谐稳定的劳动关系，并通过完善的培训与发展体系，助力员工实现个人价值，与公司共创未来。</w:t>
      </w:r>
    </w:p>
    <w:p w14:paraId="113DE565">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r>
        <w:rPr>
          <w:rFonts w:hint="eastAsia"/>
          <w:b/>
          <w:lang w:val="en-US" w:eastAsia="zh-CN"/>
        </w:rPr>
        <w:t>8.1</w:t>
      </w:r>
      <w:r>
        <w:rPr>
          <w:rFonts w:hint="default"/>
          <w:b/>
          <w:lang w:val="en-US" w:eastAsia="zh-CN"/>
        </w:rPr>
        <w:t>有竞争力的薪酬政策</w:t>
      </w:r>
    </w:p>
    <w:p w14:paraId="5FAFC72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公司在遵守国家相关法律法规的基础上，根据市场化原则，建立具备市场竞争力的薪酬管理体系，公司逐步建立健全相应的薪酬待遇体系，以激励和留住优秀员工。报告期内实施业务部门以业绩考核为主体，辅以综合考评。支持部门以定量目标考核为主体，辅以动态因素调整。同时，公司还建立了全面的福利保障体系，包括社会保险、住房公积金、公司福利、工会福利及女职工福利等，充分体现了公司价值观和企业文化。</w:t>
      </w:r>
    </w:p>
    <w:p w14:paraId="0E8EFEF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1）绩效工资：公司为员工提供具有市场竞争力的岗位薪酬，并根据公司的业绩、市场薪酬水平和个人业绩表现对员工的薪酬水平进行年度调整。绩效奖金直接体现员工绩效和贡献，根据员工绩效考核结果按岗位所属系列实施月度或年终结算。年度结束后，根据员工绩效表现与公司业绩，为员工提供年度绩效奖金。</w:t>
      </w:r>
    </w:p>
    <w:p w14:paraId="2047B95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（2）研发激励：鼓励研发专业技术人员不断学习和持续创新，强化以市场和业绩为导向的竞争性报酬体系激励研发人员。</w:t>
      </w:r>
    </w:p>
    <w:p w14:paraId="668BCA5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（3）专项激励：对在年度内表现优秀的员工和工作团队，公司还提供各项专项奖励，如优秀员工、先进集体、优秀管理奖、持续改进奖等，以体现对优秀员工、工作团队的即时认可和奖励。</w:t>
      </w:r>
    </w:p>
    <w:p w14:paraId="5808445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4）实施员工持股计划：为建立和完善员工、股东的利益共享机制，改善公司治理水平，提高职工的凝聚力和公司竞争力，调动员工的积极性和创造性，促进公司长期、持续、健康发展，公司推出了2024年员工持股计划，对公司核心技术骨干及核心业务骨干实施激励。</w:t>
      </w:r>
    </w:p>
    <w:p w14:paraId="7B008EF6">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r>
        <w:rPr>
          <w:rFonts w:hint="eastAsia"/>
          <w:b/>
          <w:lang w:val="en-US" w:eastAsia="zh-CN"/>
        </w:rPr>
        <w:t>8.2</w:t>
      </w:r>
      <w:r>
        <w:rPr>
          <w:rFonts w:hint="default"/>
          <w:b/>
          <w:lang w:val="en-US" w:eastAsia="zh-CN"/>
        </w:rPr>
        <w:t>为员工提供充分的社会保障</w:t>
      </w:r>
    </w:p>
    <w:p w14:paraId="78C01DF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建立并认真执行员工带薪年休假制度，根据国家规定充分保障女性员工在怀孕、生产、哺乳期间所享有的待遇。公司为吸引和留住人才，改善宿舍楼住宿环境，不定期地组织活动丰富业余生活，使员工尽快融入公司大家庭。每年评选优秀员工、优秀班组等奖项，并给予表彰及奖品；每年组织员工进行体检，以确保员工的身心健康。</w:t>
      </w:r>
    </w:p>
    <w:p w14:paraId="2CCEAC69">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r>
        <w:rPr>
          <w:rFonts w:hint="eastAsia"/>
          <w:b/>
          <w:lang w:val="en-US" w:eastAsia="zh-CN"/>
        </w:rPr>
        <w:t>8.3</w:t>
      </w:r>
      <w:r>
        <w:rPr>
          <w:rFonts w:hint="default"/>
          <w:b/>
          <w:lang w:val="en-US" w:eastAsia="zh-CN"/>
        </w:rPr>
        <w:t>为员工职业发展提供广阔空间</w:t>
      </w:r>
    </w:p>
    <w:p w14:paraId="6CE3492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公司始终注重员工培训及职业发展，通过规划一系列员工培训计划及后备人才储备体系，不断扩充、强化公司人才队伍建设，提升公司发展活力。公司通过聘请专业团队、委外培训、参与协会培训等多种形式展开培训，提高员工的工作技能和综合素质。主要培训内容如下：</w:t>
      </w:r>
    </w:p>
    <w:p w14:paraId="493CB5A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（1）新员工入职培训：引导新员工熟悉和了解工作职责、工作环境和工作条件、企业文化等；扩展员工的知识和技能，提高适应性，为快速融入企业创造条件；</w:t>
      </w:r>
    </w:p>
    <w:p w14:paraId="4A18F26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（2）营销人员业务培训：通过培训了解产品、设计理念，使营销人员了解市场、熟悉市场，并成为研发创新的实践者，提高工作积极性；</w:t>
      </w:r>
    </w:p>
    <w:p w14:paraId="5BDD15E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（3）管理者、研发人员培训：通过培训提高各层次管理人员的思想素质和管理水平，使之更新观念，改善知识结构，适应公司新的管理模式。</w:t>
      </w:r>
    </w:p>
    <w:p w14:paraId="499256C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p>
    <w:p w14:paraId="24CF773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（4）董监高培训：进一步切实提高董监高履职能力，通过相关案例向董监高传达政策导向，避免董监高在下一步工作中触碰监管红线。</w:t>
      </w:r>
    </w:p>
    <w:p w14:paraId="53FC42D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2025年，公司将在现有培训体系的基础上，健全高水平人才培训体系，全面提升公司员工专业水平，完善公司服务水平。</w:t>
      </w:r>
    </w:p>
    <w:p w14:paraId="79102F8B">
      <w:pPr>
        <w:pStyle w:val="2"/>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bookmarkStart w:id="25" w:name="_Toc17272"/>
      <w:r>
        <w:rPr>
          <w:rFonts w:hint="default"/>
          <w:b/>
          <w:lang w:val="en-US" w:eastAsia="zh-CN"/>
        </w:rPr>
        <w:t>九、社会责任实践与公益支持</w:t>
      </w:r>
      <w:bookmarkEnd w:id="25"/>
    </w:p>
    <w:p w14:paraId="46330497">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bookmarkStart w:id="26" w:name="_Toc11276"/>
      <w:r>
        <w:rPr>
          <w:rFonts w:hint="default"/>
          <w:b/>
          <w:lang w:val="en-US" w:eastAsia="zh-CN"/>
        </w:rPr>
        <w:t>9.1 安全责任践行</w:t>
      </w:r>
      <w:bookmarkEnd w:id="26"/>
    </w:p>
    <w:p w14:paraId="517EA7C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公司将产品安全视为对消费者和社会最核心的承诺，并通过全方位举措予以落实：</w:t>
      </w:r>
    </w:p>
    <w:p w14:paraId="11748E8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质量安全红线：严格执行《医疗器械监督管理条例》等法规，依托ISO13485和ISO9001质量管理体系，对产品实现全生命周期风险管理，确保出厂产品100%符合安全标准，保障患者用械安全。2024年，公司主导/参与产品安全性培训XX场。</w:t>
      </w:r>
    </w:p>
    <w:p w14:paraId="0CEE16F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科普教育与公众知情：通过官方网站、微信公众号、产品说明书等渠道，积极向公众科普医疗器械正确使用、日常健康管理等相关知识，提升用户安全意识和健康素养。</w:t>
      </w:r>
    </w:p>
    <w:p w14:paraId="03FAFB3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应急保障与支持：在公共健康事件或突发事件中，积极响应政府号召，保障相关医疗设备的稳定生产和供应，为公共卫生安全贡献力量。</w:t>
      </w:r>
    </w:p>
    <w:p w14:paraId="53B17067">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bookmarkStart w:id="27" w:name="_Toc15864"/>
      <w:r>
        <w:rPr>
          <w:rFonts w:hint="default"/>
          <w:b/>
          <w:lang w:val="en-US" w:eastAsia="zh-CN"/>
        </w:rPr>
        <w:t>9.2 员工责任落实</w:t>
      </w:r>
      <w:bookmarkEnd w:id="27"/>
    </w:p>
    <w:p w14:paraId="565B8EF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公司视员工为家人，超越法律义务，全面落实对员工的责任，构建和谐劳动关系：</w:t>
      </w:r>
    </w:p>
    <w:p w14:paraId="7BB6187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权益保障：100%签订劳动合同、足额缴纳“五险一金”、建立公正的薪酬福利体系，保障员工基本权益。</w:t>
      </w:r>
    </w:p>
    <w:p w14:paraId="5B00BB8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健康成长：提供年度体检、心理健康关怀、丰富多彩的文体活动，关注员工身心健康与工作生活平衡。</w:t>
      </w:r>
    </w:p>
    <w:p w14:paraId="1CD9E71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发展赋能：建立完善的培训与双通道发展体系，投资于员工的未来，助力员工实现个人价值与企业共同成长。</w:t>
      </w:r>
    </w:p>
    <w:p w14:paraId="47575E05">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bookmarkStart w:id="28" w:name="_Toc13738"/>
      <w:r>
        <w:rPr>
          <w:rFonts w:hint="default"/>
          <w:b/>
          <w:lang w:val="en-US" w:eastAsia="zh-CN"/>
        </w:rPr>
        <w:t>9.3 公益责任履行</w:t>
      </w:r>
      <w:bookmarkEnd w:id="28"/>
    </w:p>
    <w:p w14:paraId="600910E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始终将公益慈善事业视为企业回馈社会、践行核心价值观的重要途径。2024年度，我们聚焦“健康守护”与“人才培育”两大核心领域，结合自身产业优势，系统性地开展了一系列公益实践，以实际行动诠释企业的社会担当。</w:t>
      </w:r>
    </w:p>
    <w:p w14:paraId="53AEF93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为积极响应国家关于东西部协作的号召，公司通过徐州市医疗器械行业协会，深度参与了</w:t>
      </w:r>
      <w:r>
        <w:rPr>
          <w:rFonts w:hint="eastAsia"/>
          <w:lang w:val="en-US" w:eastAsia="zh-CN"/>
        </w:rPr>
        <w:t>“</w:t>
      </w:r>
      <w:r>
        <w:rPr>
          <w:rFonts w:hint="default"/>
          <w:lang w:val="en-US" w:eastAsia="zh-CN"/>
        </w:rPr>
        <w:t>苏社有为 振兴发展</w:t>
      </w:r>
      <w:r>
        <w:rPr>
          <w:rFonts w:hint="eastAsia"/>
          <w:lang w:val="en-US" w:eastAsia="zh-CN"/>
        </w:rPr>
        <w:t>”</w:t>
      </w:r>
      <w:r>
        <w:rPr>
          <w:rFonts w:hint="default"/>
          <w:lang w:val="en-US" w:eastAsia="zh-CN"/>
        </w:rPr>
        <w:t>苏青（新、陕）社会组织协作项目”。</w:t>
      </w:r>
    </w:p>
    <w:p w14:paraId="3EBE855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精准捐赠：公司向新疆克孜勒苏柯尔克孜自治州乌恰县精准捐赠了总价值5.76万元的医疗设备，包括200台臂式电子血压计和10台5升制氧机。</w:t>
      </w:r>
    </w:p>
    <w:p w14:paraId="1C81F6E8">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lang w:val="en-US" w:eastAsia="zh-CN"/>
        </w:rPr>
      </w:pPr>
      <w:r>
        <w:rPr>
          <w:rFonts w:hint="default"/>
          <w:lang w:val="en-US" w:eastAsia="zh-CN"/>
        </w:rPr>
        <w:drawing>
          <wp:anchor distT="0" distB="0" distL="114300" distR="114300" simplePos="0" relativeHeight="251663360" behindDoc="1" locked="0" layoutInCell="1" allowOverlap="1">
            <wp:simplePos x="0" y="0"/>
            <wp:positionH relativeFrom="column">
              <wp:posOffset>-610235</wp:posOffset>
            </wp:positionH>
            <wp:positionV relativeFrom="paragraph">
              <wp:posOffset>-3916045</wp:posOffset>
            </wp:positionV>
            <wp:extent cx="3329940" cy="4530725"/>
            <wp:effectExtent l="0" t="0" r="10160" b="3175"/>
            <wp:wrapNone/>
            <wp:docPr id="6" name="图片 6" descr="捐赠协议书-徐州市永康电子科技有限公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捐赠协议书-徐州市永康电子科技有限公司_03"/>
                    <pic:cNvPicPr>
                      <a:picLocks noChangeAspect="1"/>
                    </pic:cNvPicPr>
                  </pic:nvPicPr>
                  <pic:blipFill>
                    <a:blip r:embed="rId8"/>
                    <a:stretch>
                      <a:fillRect/>
                    </a:stretch>
                  </pic:blipFill>
                  <pic:spPr>
                    <a:xfrm>
                      <a:off x="0" y="0"/>
                      <a:ext cx="3329940" cy="4530725"/>
                    </a:xfrm>
                    <a:prstGeom prst="rect">
                      <a:avLst/>
                    </a:prstGeom>
                  </pic:spPr>
                </pic:pic>
              </a:graphicData>
            </a:graphic>
          </wp:anchor>
        </w:drawing>
      </w:r>
      <w:r>
        <w:rPr>
          <w:rFonts w:hint="default"/>
          <w:lang w:val="en-US" w:eastAsia="zh-CN"/>
        </w:rPr>
        <w:drawing>
          <wp:anchor distT="0" distB="0" distL="114300" distR="114300" simplePos="0" relativeHeight="251662336" behindDoc="0" locked="0" layoutInCell="1" allowOverlap="1">
            <wp:simplePos x="0" y="0"/>
            <wp:positionH relativeFrom="column">
              <wp:posOffset>2832100</wp:posOffset>
            </wp:positionH>
            <wp:positionV relativeFrom="paragraph">
              <wp:posOffset>4394200</wp:posOffset>
            </wp:positionV>
            <wp:extent cx="3638550" cy="5144770"/>
            <wp:effectExtent l="0" t="0" r="6350" b="11430"/>
            <wp:wrapTopAndBottom/>
            <wp:docPr id="5" name="图片 5" descr="捐赠协议书-徐州市永康电子科技有限公司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捐赠协议书-徐州市永康电子科技有限公司_04"/>
                    <pic:cNvPicPr>
                      <a:picLocks noChangeAspect="1"/>
                    </pic:cNvPicPr>
                  </pic:nvPicPr>
                  <pic:blipFill>
                    <a:blip r:embed="rId9"/>
                    <a:stretch>
                      <a:fillRect/>
                    </a:stretch>
                  </pic:blipFill>
                  <pic:spPr>
                    <a:xfrm>
                      <a:off x="0" y="0"/>
                      <a:ext cx="3638550" cy="5144770"/>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2835275</wp:posOffset>
            </wp:positionH>
            <wp:positionV relativeFrom="paragraph">
              <wp:posOffset>160655</wp:posOffset>
            </wp:positionV>
            <wp:extent cx="2814320" cy="3979545"/>
            <wp:effectExtent l="0" t="0" r="5080" b="8255"/>
            <wp:wrapTopAndBottom/>
            <wp:docPr id="7" name="图片 7" descr="捐赠协议书-徐州市永康电子科技有限公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捐赠协议书-徐州市永康电子科技有限公司_02"/>
                    <pic:cNvPicPr>
                      <a:picLocks noChangeAspect="1"/>
                    </pic:cNvPicPr>
                  </pic:nvPicPr>
                  <pic:blipFill>
                    <a:blip r:embed="rId10"/>
                    <a:stretch>
                      <a:fillRect/>
                    </a:stretch>
                  </pic:blipFill>
                  <pic:spPr>
                    <a:xfrm>
                      <a:off x="0" y="0"/>
                      <a:ext cx="2814320" cy="397954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-601980</wp:posOffset>
            </wp:positionH>
            <wp:positionV relativeFrom="paragraph">
              <wp:posOffset>0</wp:posOffset>
            </wp:positionV>
            <wp:extent cx="3288665" cy="4650740"/>
            <wp:effectExtent l="0" t="0" r="635" b="10160"/>
            <wp:wrapTopAndBottom/>
            <wp:docPr id="8" name="图片 8" descr="捐赠协议书-徐州市永康电子科技有限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捐赠协议书-徐州市永康电子科技有限公司_01"/>
                    <pic:cNvPicPr>
                      <a:picLocks noChangeAspect="1"/>
                    </pic:cNvPicPr>
                  </pic:nvPicPr>
                  <pic:blipFill>
                    <a:blip r:embed="rId11"/>
                    <a:stretch>
                      <a:fillRect/>
                    </a:stretch>
                  </pic:blipFill>
                  <pic:spPr>
                    <a:xfrm>
                      <a:off x="0" y="0"/>
                      <a:ext cx="3288665" cy="4650740"/>
                    </a:xfrm>
                    <a:prstGeom prst="rect">
                      <a:avLst/>
                    </a:prstGeom>
                  </pic:spPr>
                </pic:pic>
              </a:graphicData>
            </a:graphic>
          </wp:anchor>
        </w:drawing>
      </w:r>
    </w:p>
    <w:p w14:paraId="19C683C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项目意义：这批设备专项用于乌恰县的医院、日间照料中心及各乡（镇）幸福大院，旨在提升当地基层医疗机构的诊疗能力和康复服务水平，更好地为当地村民的健康保驾护航。此举是公司利用自身产品优势，助力巩固脱贫攻坚成果、全面推进乡村振兴的切实体现。</w:t>
      </w:r>
    </w:p>
    <w:p w14:paraId="3556FABD">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lang w:val="en-US" w:eastAsia="zh-CN"/>
        </w:rPr>
      </w:pPr>
      <w:bookmarkStart w:id="29" w:name="_Toc21734"/>
      <w:r>
        <w:rPr>
          <w:rFonts w:hint="eastAsia"/>
          <w:b/>
          <w:lang w:val="en-US" w:eastAsia="zh-CN"/>
        </w:rPr>
        <w:t>十、绩效评价与持续改进</w:t>
      </w:r>
      <w:bookmarkEnd w:id="29"/>
    </w:p>
    <w:p w14:paraId="477B443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徐州市永康电子科技有限公司致力于建立并运行一个持续改进、追求卓越的社会责任管理体系。我们通过系统化的监视测量、定期的审核评审以及有效的纠正预防措施，确保公司各项社会责任目标得以实现，并推动管理体系与社会责任绩效的螺旋式上升。</w:t>
      </w:r>
    </w:p>
    <w:p w14:paraId="22AF5628">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30" w:name="_Toc30757"/>
      <w:r>
        <w:rPr>
          <w:rFonts w:hint="eastAsia"/>
          <w:b/>
          <w:lang w:val="en-US" w:eastAsia="zh-CN"/>
        </w:rPr>
        <w:t>10.1 监视、测量与评价</w:t>
      </w:r>
      <w:bookmarkEnd w:id="30"/>
    </w:p>
    <w:p w14:paraId="3B406A4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公司建立了全面的绩效指标监测系统，以确保社会责任相关目标的实现过程可控、结果可信。</w:t>
      </w:r>
    </w:p>
    <w:p w14:paraId="62C4449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关键绩效指标（KPI）体系：围绕质量、环境、安全、员工等核心社会责任议题，设立了可量化的关键绩效指标，并定期进行监测与分析，例如：</w:t>
      </w:r>
    </w:p>
    <w:p w14:paraId="607D4D1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质量绩效：产品一次检验合格率、客户投诉处理及时率与闭环率。</w:t>
      </w:r>
    </w:p>
    <w:p w14:paraId="686E489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环境绩效：万元产值综合能耗、废弃物分类处置率、危险废弃物合规处置率（100%）。</w:t>
      </w:r>
    </w:p>
    <w:p w14:paraId="5131197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安全绩效：工伤事故频率（LTIFR）、隐患排查整改完成率。</w:t>
      </w:r>
    </w:p>
    <w:p w14:paraId="5548D84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p>
    <w:p w14:paraId="25B3F7B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员工相关：员工满意度指数、年度培训计划完成率。</w:t>
      </w:r>
    </w:p>
    <w:p w14:paraId="681354E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合规性评价：定期评估公司运营对适用法律法规及其他要求的遵守情况，确保全面合规。</w:t>
      </w:r>
    </w:p>
    <w:p w14:paraId="7E00E07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数据可靠性保障：为保证监测数据的准确可靠，公司严格执行 《监视和测量设备控制程序》（YK/CX-7.6-01）。</w:t>
      </w:r>
    </w:p>
    <w:p w14:paraId="7BAA61B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对所有用于检验、试验和监控的设备进行统一台账管理（《监视、测量设备台账》）。</w:t>
      </w:r>
    </w:p>
    <w:p w14:paraId="58A59F0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制定并实施周期检定/校准计划（《监视、测量设备周期检定计划表》），按期委托外部机构或由内部合格人员实施校准，确保量值溯源。</w:t>
      </w:r>
    </w:p>
    <w:p w14:paraId="74FC41E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对校准结果进行严格确认（《校准证书确认表》），并对设备状态进行“合格”、“限用”、“停用”等标识，防止误用。</w:t>
      </w:r>
    </w:p>
    <w:p w14:paraId="2A27447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一旦发现设备失准，立即对先前测量结果的有效性进行评价并采取相应措施，必要时对受影响产品进行追溯和重新检测，确保数据 integrity 和产品安全。</w:t>
      </w:r>
    </w:p>
    <w:p w14:paraId="41518015">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31" w:name="_Toc4031"/>
      <w:r>
        <w:rPr>
          <w:rFonts w:hint="eastAsia"/>
          <w:b/>
          <w:lang w:val="en-US" w:eastAsia="zh-CN"/>
        </w:rPr>
        <w:t>10.2 内部审核与管理评审</w:t>
      </w:r>
      <w:bookmarkEnd w:id="31"/>
    </w:p>
    <w:p w14:paraId="5C54171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公司通过系统化的审核与评审，从不同层面验证体系的有效性并驱动改进。</w:t>
      </w:r>
    </w:p>
    <w:p w14:paraId="189C1D3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内部审核：公司按计划每年组织内部审核，覆盖社会责任、质量、环境、职业健康安全等所有管理体系要求。审核过程独立、客观，旨在确定体系是否符合策划的安排、标准要求及公司规定。对于审核发现的不符合项，责任部门必须分析根本原因并实施纠正措施，审核组进行跟踪验证，形成闭环管理。2024年度内部审核共发现X项不符合项，均已有效整改完毕。</w:t>
      </w:r>
    </w:p>
    <w:p w14:paraId="78FC34A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管理评审：最高管理者每年主持管理评审会议，对管理体系的适宜性、充分性和有效性进行战略性审查。评审输入包括内部审核结果、绩效数据、利益相关方反馈、纠正措施状况、以往评审的跟踪措施及变更需求等。评审输出包括对体系持续改进的决策、资源需求的调整以及新的目标、指标和方案。管理评审是公司实现社会责任承诺和战略方向的重要保障。</w:t>
      </w:r>
    </w:p>
    <w:p w14:paraId="057F9BF2">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32" w:name="_Toc30815"/>
      <w:r>
        <w:rPr>
          <w:rFonts w:hint="eastAsia"/>
          <w:b/>
          <w:lang w:val="en-US" w:eastAsia="zh-CN"/>
        </w:rPr>
        <w:t>10.3 持续改进措施</w:t>
      </w:r>
      <w:bookmarkEnd w:id="32"/>
    </w:p>
    <w:p w14:paraId="305F29C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公司秉承PDCA（策划-实施-检查-处置）循环理念，将改进创新融入企业文化。</w:t>
      </w:r>
    </w:p>
    <w:p w14:paraId="32055B1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纠正与预防措施：针对监视测量、内部审核、管理评审及突发事件中发现的任何不符合或潜在不符合，均启动系统化的根本原因分析，并采取与之相适应的纠正措施或预防措施，以防止问题再发生或发生，从而实现持续改进。</w:t>
      </w:r>
    </w:p>
    <w:p w14:paraId="24423CE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创新与优化：鼓励员工通过合理化建议等方式提出改进方案，并持续通过技术革新、流程优化和管理创新，提升产品质量、环境绩效、安全水平和运营效率。</w:t>
      </w:r>
    </w:p>
    <w:p w14:paraId="3FCB6BD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标杆学习：关注行业内外最佳实践，通过对标学习，识别自身差距，设定挑战性目标。</w:t>
      </w:r>
    </w:p>
    <w:p w14:paraId="33D5574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目标更新与动态管理：根据绩效评价结果、管理评审输出以及内外部环境的变化，定期修订和更新社会责任目标与指标，确保其始终具有相关性和引领性。</w:t>
      </w:r>
    </w:p>
    <w:p w14:paraId="4AA6413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通过以上层层递进、环环相扣的机制，公司确保了社会责任工作不是静态的汇报，而是动态的、充满活力的持续改进过程，从而能够更好地履行对各方利益相关方的承诺，实现可持续的长期发展。</w:t>
      </w:r>
    </w:p>
    <w:p w14:paraId="34231F4B">
      <w:pPr>
        <w:pStyle w:val="3"/>
        <w:keepNext w:val="0"/>
        <w:keepLines w:val="0"/>
        <w:pageBreakBefore w:val="0"/>
        <w:widowControl w:val="0"/>
        <w:numPr>
          <w:ilvl w:val="0"/>
          <w:numId w:val="3"/>
        </w:numPr>
        <w:kinsoku/>
        <w:wordWrap/>
        <w:overflowPunct/>
        <w:topLinePunct w:val="0"/>
        <w:autoSpaceDE/>
        <w:autoSpaceDN/>
        <w:bidi w:val="0"/>
        <w:adjustRightInd/>
        <w:snapToGrid/>
        <w:textAlignment w:val="auto"/>
        <w:rPr>
          <w:rFonts w:hint="eastAsia"/>
          <w:lang w:val="en-US" w:eastAsia="zh-CN"/>
        </w:rPr>
      </w:pPr>
      <w:bookmarkStart w:id="33" w:name="_Toc21989"/>
      <w:r>
        <w:rPr>
          <w:rFonts w:hint="eastAsia"/>
          <w:b/>
          <w:lang w:val="en-US" w:eastAsia="zh-CN"/>
        </w:rPr>
        <w:t>结语</w:t>
      </w:r>
      <w:bookmarkEnd w:id="33"/>
    </w:p>
    <w:p w14:paraId="7246CD8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回顾2024年，徐州市永康电子科技有限公司在履行企业社会责任的征程上迈出了坚实而有力的步伐。我们始终将社会责任深植于企业战略和日常运营之中，以“用科技守护健康”为使命，不仅在产品质量、技术创新和经营业绩上追求卓越，更在环境保护、安全生产、员工关怀和公益奉献等领域践行着对利益相关方的郑重承诺。</w:t>
      </w:r>
    </w:p>
    <w:p w14:paraId="050175C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本报告系统呈现了我们在社会责任管理体系建设、合规诚信经营、绿色生产制造、供应链责任延伸、员工成长赋能以及社区公益支持等方面的实践与成果。这些成绩的取得，离不开公司管理层的坚定引领、全体员工的共同努力，以及各级政府、客户、合作伙伴和社会各界的长期信任与支持。</w:t>
      </w:r>
    </w:p>
    <w:p w14:paraId="08AF722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我们深知，社会责任之路永无止境。当前全球可持续发展面临诸多挑战，社会期望不断提升，这对我们的履责实践提出了更高要求。展望未来，徐州永康电子将继续秉持长期主义和可持续发展的理念：</w:t>
      </w:r>
    </w:p>
    <w:p w14:paraId="01F16A2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深化责任管理：持续完善与社会责任相关的管理体系，推动其与业务运营更深层次的融合，提升风险应对能力和治理水平。</w:t>
      </w:r>
    </w:p>
    <w:p w14:paraId="2ADE60A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聚焦关键议题：持续重点关注产品安全与质量、环境保护与低碳转型、员工发展与福祉等核心议题，追求更优绩效。</w:t>
      </w:r>
    </w:p>
    <w:p w14:paraId="45A9798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强化沟通与合作：更主动地与各利益相关方沟通，倾听期望，凝聚共识，携手价值链伙伴共同推动行业的可持续发展。</w:t>
      </w:r>
    </w:p>
    <w:p w14:paraId="4A785F0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创新公益实践：更精准地结合自身专业能力，探索和创新公益模式，为促进社会公平与人民健康福祉贡献更大力量。</w:t>
      </w:r>
    </w:p>
    <w:p w14:paraId="0AA065B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前行不忘来时路，饮水常思溯源情。徐州永康电子将一如既往，以务实的态度、创新的精神和真诚的担当，努力成为一家为社会创造长期价值的优秀企业公民。我们期待与社会各界继续携手，共创共享更加健康、绿色、美好的未来。</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94F9A">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B5A06">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20B5A06">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E99710"/>
    <w:multiLevelType w:val="singleLevel"/>
    <w:tmpl w:val="E7E99710"/>
    <w:lvl w:ilvl="0" w:tentative="0">
      <w:start w:val="6"/>
      <w:numFmt w:val="chineseCounting"/>
      <w:suff w:val="nothing"/>
      <w:lvlText w:val="%1、"/>
      <w:lvlJc w:val="left"/>
      <w:rPr>
        <w:rFonts w:hint="eastAsia"/>
      </w:rPr>
    </w:lvl>
  </w:abstractNum>
  <w:abstractNum w:abstractNumId="1">
    <w:nsid w:val="09C00F31"/>
    <w:multiLevelType w:val="singleLevel"/>
    <w:tmpl w:val="09C00F31"/>
    <w:lvl w:ilvl="0" w:tentative="0">
      <w:start w:val="11"/>
      <w:numFmt w:val="chineseCounting"/>
      <w:suff w:val="nothing"/>
      <w:lvlText w:val="%1、"/>
      <w:lvlJc w:val="left"/>
      <w:rPr>
        <w:rFonts w:hint="eastAsia"/>
      </w:rPr>
    </w:lvl>
  </w:abstractNum>
  <w:abstractNum w:abstractNumId="2">
    <w:nsid w:val="3902D548"/>
    <w:multiLevelType w:val="singleLevel"/>
    <w:tmpl w:val="3902D548"/>
    <w:lvl w:ilvl="0" w:tentative="0">
      <w:start w:val="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265F24"/>
    <w:rsid w:val="00F431B9"/>
    <w:rsid w:val="01B82438"/>
    <w:rsid w:val="02117D9A"/>
    <w:rsid w:val="0227136C"/>
    <w:rsid w:val="02B726F0"/>
    <w:rsid w:val="03231B33"/>
    <w:rsid w:val="03936CB9"/>
    <w:rsid w:val="04265F24"/>
    <w:rsid w:val="04CE3D21"/>
    <w:rsid w:val="05092FAB"/>
    <w:rsid w:val="052E656D"/>
    <w:rsid w:val="055C132D"/>
    <w:rsid w:val="056F2E0E"/>
    <w:rsid w:val="0575419C"/>
    <w:rsid w:val="05AB131F"/>
    <w:rsid w:val="05B72A07"/>
    <w:rsid w:val="06163BD1"/>
    <w:rsid w:val="06622973"/>
    <w:rsid w:val="068428E9"/>
    <w:rsid w:val="0696086E"/>
    <w:rsid w:val="06BF7DC5"/>
    <w:rsid w:val="06C278B5"/>
    <w:rsid w:val="06C673A5"/>
    <w:rsid w:val="0730481F"/>
    <w:rsid w:val="07950B26"/>
    <w:rsid w:val="07A46E5E"/>
    <w:rsid w:val="087846CF"/>
    <w:rsid w:val="08964B56"/>
    <w:rsid w:val="08AC72B8"/>
    <w:rsid w:val="08EE04EE"/>
    <w:rsid w:val="090D25F9"/>
    <w:rsid w:val="09DF42DA"/>
    <w:rsid w:val="09E638BB"/>
    <w:rsid w:val="0A1026E6"/>
    <w:rsid w:val="0A4353F5"/>
    <w:rsid w:val="0A621193"/>
    <w:rsid w:val="0AE4604C"/>
    <w:rsid w:val="0B0F299D"/>
    <w:rsid w:val="0B756CA4"/>
    <w:rsid w:val="0B9A695A"/>
    <w:rsid w:val="0BB377CC"/>
    <w:rsid w:val="0BC1013B"/>
    <w:rsid w:val="0C3F6E11"/>
    <w:rsid w:val="0CFA1B57"/>
    <w:rsid w:val="0D3A01A5"/>
    <w:rsid w:val="0D906017"/>
    <w:rsid w:val="0E1C78AB"/>
    <w:rsid w:val="0F5D461F"/>
    <w:rsid w:val="0F876D07"/>
    <w:rsid w:val="0F9A13CF"/>
    <w:rsid w:val="0FF07241"/>
    <w:rsid w:val="0FFE570A"/>
    <w:rsid w:val="10534754"/>
    <w:rsid w:val="1068327B"/>
    <w:rsid w:val="107B2E92"/>
    <w:rsid w:val="10A36062"/>
    <w:rsid w:val="10B4201D"/>
    <w:rsid w:val="10CF50A9"/>
    <w:rsid w:val="10D206F5"/>
    <w:rsid w:val="11AE1162"/>
    <w:rsid w:val="11B5429E"/>
    <w:rsid w:val="11CF5B2D"/>
    <w:rsid w:val="11E64458"/>
    <w:rsid w:val="11EB5F12"/>
    <w:rsid w:val="122414A1"/>
    <w:rsid w:val="126F4193"/>
    <w:rsid w:val="129640D0"/>
    <w:rsid w:val="130152C1"/>
    <w:rsid w:val="139323BD"/>
    <w:rsid w:val="13D11138"/>
    <w:rsid w:val="13DA7FEC"/>
    <w:rsid w:val="142474B9"/>
    <w:rsid w:val="142B0848"/>
    <w:rsid w:val="1483101F"/>
    <w:rsid w:val="14A5684C"/>
    <w:rsid w:val="14AE3227"/>
    <w:rsid w:val="14E756D6"/>
    <w:rsid w:val="150317C5"/>
    <w:rsid w:val="15107AFF"/>
    <w:rsid w:val="158F3058"/>
    <w:rsid w:val="1594241D"/>
    <w:rsid w:val="15C54CCC"/>
    <w:rsid w:val="15FD6214"/>
    <w:rsid w:val="16227A29"/>
    <w:rsid w:val="163D0D06"/>
    <w:rsid w:val="17365E81"/>
    <w:rsid w:val="173B6FF4"/>
    <w:rsid w:val="17457E73"/>
    <w:rsid w:val="1776627E"/>
    <w:rsid w:val="17AC1CA0"/>
    <w:rsid w:val="17BE7C25"/>
    <w:rsid w:val="17D9680D"/>
    <w:rsid w:val="17F92A0B"/>
    <w:rsid w:val="180E508C"/>
    <w:rsid w:val="184B14B9"/>
    <w:rsid w:val="18561C0B"/>
    <w:rsid w:val="18AE37F5"/>
    <w:rsid w:val="19520625"/>
    <w:rsid w:val="19D67B51"/>
    <w:rsid w:val="1A004525"/>
    <w:rsid w:val="1A0E09F0"/>
    <w:rsid w:val="1A6E148E"/>
    <w:rsid w:val="1A8B64E4"/>
    <w:rsid w:val="1B4B7A22"/>
    <w:rsid w:val="1B6D7998"/>
    <w:rsid w:val="1BEA2D97"/>
    <w:rsid w:val="1C36422E"/>
    <w:rsid w:val="1CE95744"/>
    <w:rsid w:val="1DCD2970"/>
    <w:rsid w:val="1DD51824"/>
    <w:rsid w:val="1DE2466D"/>
    <w:rsid w:val="1E796654"/>
    <w:rsid w:val="1F100D66"/>
    <w:rsid w:val="1F325180"/>
    <w:rsid w:val="1F5548E2"/>
    <w:rsid w:val="1F6115C2"/>
    <w:rsid w:val="1FCD4EA9"/>
    <w:rsid w:val="1FDE2C12"/>
    <w:rsid w:val="1FE741BD"/>
    <w:rsid w:val="200308CB"/>
    <w:rsid w:val="201E5705"/>
    <w:rsid w:val="202076CF"/>
    <w:rsid w:val="20474C5B"/>
    <w:rsid w:val="2071686E"/>
    <w:rsid w:val="20E34258"/>
    <w:rsid w:val="217D46AD"/>
    <w:rsid w:val="21D95D87"/>
    <w:rsid w:val="22327245"/>
    <w:rsid w:val="22386D48"/>
    <w:rsid w:val="227E248B"/>
    <w:rsid w:val="229677D4"/>
    <w:rsid w:val="22A939AB"/>
    <w:rsid w:val="22C207DB"/>
    <w:rsid w:val="22D402FC"/>
    <w:rsid w:val="2322550C"/>
    <w:rsid w:val="23B24AE2"/>
    <w:rsid w:val="248B0E8F"/>
    <w:rsid w:val="24C543A1"/>
    <w:rsid w:val="25697422"/>
    <w:rsid w:val="258C3110"/>
    <w:rsid w:val="259A3A7F"/>
    <w:rsid w:val="25EB7E37"/>
    <w:rsid w:val="26AB75C6"/>
    <w:rsid w:val="271E248E"/>
    <w:rsid w:val="275B0FEC"/>
    <w:rsid w:val="288E0F4E"/>
    <w:rsid w:val="28A10C81"/>
    <w:rsid w:val="28F039B6"/>
    <w:rsid w:val="294011B3"/>
    <w:rsid w:val="2976210D"/>
    <w:rsid w:val="29D07A70"/>
    <w:rsid w:val="29E96D83"/>
    <w:rsid w:val="2A1A6F3D"/>
    <w:rsid w:val="2A2A1727"/>
    <w:rsid w:val="2AFC6642"/>
    <w:rsid w:val="2B033E75"/>
    <w:rsid w:val="2B053749"/>
    <w:rsid w:val="2B1240B8"/>
    <w:rsid w:val="2B724A18"/>
    <w:rsid w:val="2BAB5F3B"/>
    <w:rsid w:val="2BD1187D"/>
    <w:rsid w:val="2BDF773B"/>
    <w:rsid w:val="2C2B5431"/>
    <w:rsid w:val="2C494DF9"/>
    <w:rsid w:val="2C7566AC"/>
    <w:rsid w:val="2CC118F2"/>
    <w:rsid w:val="2D236108"/>
    <w:rsid w:val="2D940DB4"/>
    <w:rsid w:val="2DBB4593"/>
    <w:rsid w:val="2DD37B2E"/>
    <w:rsid w:val="2E283EF2"/>
    <w:rsid w:val="2E3507E9"/>
    <w:rsid w:val="2E862DF3"/>
    <w:rsid w:val="2E894691"/>
    <w:rsid w:val="2EBA2A9C"/>
    <w:rsid w:val="2F2D3E72"/>
    <w:rsid w:val="2F911A4F"/>
    <w:rsid w:val="30D50061"/>
    <w:rsid w:val="30E81B43"/>
    <w:rsid w:val="31701B38"/>
    <w:rsid w:val="318D4498"/>
    <w:rsid w:val="31B163D9"/>
    <w:rsid w:val="31BB7257"/>
    <w:rsid w:val="31EF6F01"/>
    <w:rsid w:val="31F2079F"/>
    <w:rsid w:val="320A5AE9"/>
    <w:rsid w:val="323D7C6C"/>
    <w:rsid w:val="3253123E"/>
    <w:rsid w:val="32537490"/>
    <w:rsid w:val="326571C3"/>
    <w:rsid w:val="32CB34CA"/>
    <w:rsid w:val="32FA790B"/>
    <w:rsid w:val="3337290D"/>
    <w:rsid w:val="335E433E"/>
    <w:rsid w:val="338673F1"/>
    <w:rsid w:val="33B514D1"/>
    <w:rsid w:val="33BC2E13"/>
    <w:rsid w:val="345179FF"/>
    <w:rsid w:val="34C226AB"/>
    <w:rsid w:val="34D707E7"/>
    <w:rsid w:val="3522139B"/>
    <w:rsid w:val="354D6418"/>
    <w:rsid w:val="35EF74CF"/>
    <w:rsid w:val="36201D7F"/>
    <w:rsid w:val="363D0446"/>
    <w:rsid w:val="36421CF5"/>
    <w:rsid w:val="366E68DA"/>
    <w:rsid w:val="36C26992"/>
    <w:rsid w:val="36C344B8"/>
    <w:rsid w:val="36D05553"/>
    <w:rsid w:val="3709636F"/>
    <w:rsid w:val="37873738"/>
    <w:rsid w:val="37A367C3"/>
    <w:rsid w:val="37AB1B1C"/>
    <w:rsid w:val="37C05E7A"/>
    <w:rsid w:val="37C30C14"/>
    <w:rsid w:val="37EF1A09"/>
    <w:rsid w:val="381274A5"/>
    <w:rsid w:val="38896846"/>
    <w:rsid w:val="394E2737"/>
    <w:rsid w:val="395104A1"/>
    <w:rsid w:val="39D2513E"/>
    <w:rsid w:val="3A39340F"/>
    <w:rsid w:val="3AA60379"/>
    <w:rsid w:val="3AF47336"/>
    <w:rsid w:val="3B3140E6"/>
    <w:rsid w:val="3B7A3CDF"/>
    <w:rsid w:val="3BE850ED"/>
    <w:rsid w:val="3C0D06AF"/>
    <w:rsid w:val="3C110554"/>
    <w:rsid w:val="3C2D6FA3"/>
    <w:rsid w:val="3C4B11D8"/>
    <w:rsid w:val="3C862210"/>
    <w:rsid w:val="3CB11983"/>
    <w:rsid w:val="3CED43DE"/>
    <w:rsid w:val="3D006466"/>
    <w:rsid w:val="3D251A29"/>
    <w:rsid w:val="3D2773D6"/>
    <w:rsid w:val="3D85696B"/>
    <w:rsid w:val="3DC76F84"/>
    <w:rsid w:val="3E014244"/>
    <w:rsid w:val="3E23240C"/>
    <w:rsid w:val="3E612F34"/>
    <w:rsid w:val="3E66054B"/>
    <w:rsid w:val="3ED167FC"/>
    <w:rsid w:val="3EED2A1A"/>
    <w:rsid w:val="3F0F2990"/>
    <w:rsid w:val="3F850EA5"/>
    <w:rsid w:val="3FA94B93"/>
    <w:rsid w:val="3FCE0156"/>
    <w:rsid w:val="3FDB0AC5"/>
    <w:rsid w:val="4021297B"/>
    <w:rsid w:val="40251D40"/>
    <w:rsid w:val="40281367"/>
    <w:rsid w:val="408E7CE2"/>
    <w:rsid w:val="40955117"/>
    <w:rsid w:val="40A13ABC"/>
    <w:rsid w:val="40ED0AAF"/>
    <w:rsid w:val="411249BA"/>
    <w:rsid w:val="4162324B"/>
    <w:rsid w:val="416C5E78"/>
    <w:rsid w:val="41A27F5D"/>
    <w:rsid w:val="41AF3FB7"/>
    <w:rsid w:val="42075BA1"/>
    <w:rsid w:val="42530DE6"/>
    <w:rsid w:val="42674891"/>
    <w:rsid w:val="426C3C56"/>
    <w:rsid w:val="42E61C5A"/>
    <w:rsid w:val="42ED4D97"/>
    <w:rsid w:val="431F6F1A"/>
    <w:rsid w:val="433C7ACC"/>
    <w:rsid w:val="43707776"/>
    <w:rsid w:val="43AF0144"/>
    <w:rsid w:val="44272F23"/>
    <w:rsid w:val="442C7B41"/>
    <w:rsid w:val="444C01E3"/>
    <w:rsid w:val="44BD69EB"/>
    <w:rsid w:val="456357E4"/>
    <w:rsid w:val="45765517"/>
    <w:rsid w:val="464A499A"/>
    <w:rsid w:val="46756273"/>
    <w:rsid w:val="46935C55"/>
    <w:rsid w:val="469F284C"/>
    <w:rsid w:val="47171988"/>
    <w:rsid w:val="480C5CBF"/>
    <w:rsid w:val="48515DC8"/>
    <w:rsid w:val="488C5052"/>
    <w:rsid w:val="48F86243"/>
    <w:rsid w:val="49005572"/>
    <w:rsid w:val="495001EE"/>
    <w:rsid w:val="496613DA"/>
    <w:rsid w:val="49926698"/>
    <w:rsid w:val="499441BE"/>
    <w:rsid w:val="49995264"/>
    <w:rsid w:val="49BC3715"/>
    <w:rsid w:val="49C10D2B"/>
    <w:rsid w:val="49C36AE6"/>
    <w:rsid w:val="49CD76D0"/>
    <w:rsid w:val="4A7F4E6E"/>
    <w:rsid w:val="4A995804"/>
    <w:rsid w:val="4AA2290B"/>
    <w:rsid w:val="4ACD6225"/>
    <w:rsid w:val="4B9D30D2"/>
    <w:rsid w:val="4BF929FE"/>
    <w:rsid w:val="4C261319"/>
    <w:rsid w:val="4C4023DB"/>
    <w:rsid w:val="4C4A5008"/>
    <w:rsid w:val="4C545E87"/>
    <w:rsid w:val="4D7D31BB"/>
    <w:rsid w:val="4D826A23"/>
    <w:rsid w:val="4E0538DC"/>
    <w:rsid w:val="4E086F29"/>
    <w:rsid w:val="4E094A4F"/>
    <w:rsid w:val="4F0E67C1"/>
    <w:rsid w:val="4F3B50DC"/>
    <w:rsid w:val="4F3C3EF2"/>
    <w:rsid w:val="4F6A76D8"/>
    <w:rsid w:val="4F6A776F"/>
    <w:rsid w:val="500876B4"/>
    <w:rsid w:val="50354221"/>
    <w:rsid w:val="505E04E8"/>
    <w:rsid w:val="50A867A1"/>
    <w:rsid w:val="50C80BF1"/>
    <w:rsid w:val="50CC06E1"/>
    <w:rsid w:val="50DD28EE"/>
    <w:rsid w:val="51256043"/>
    <w:rsid w:val="520E0886"/>
    <w:rsid w:val="523522B6"/>
    <w:rsid w:val="524D13AE"/>
    <w:rsid w:val="532365B3"/>
    <w:rsid w:val="535A6478"/>
    <w:rsid w:val="541303D5"/>
    <w:rsid w:val="54482775"/>
    <w:rsid w:val="54484523"/>
    <w:rsid w:val="544E58B1"/>
    <w:rsid w:val="54857525"/>
    <w:rsid w:val="54DA7145"/>
    <w:rsid w:val="55006BAB"/>
    <w:rsid w:val="554F7B33"/>
    <w:rsid w:val="5560764A"/>
    <w:rsid w:val="55872E29"/>
    <w:rsid w:val="558D41B7"/>
    <w:rsid w:val="55EA0E79"/>
    <w:rsid w:val="56101070"/>
    <w:rsid w:val="56B0015D"/>
    <w:rsid w:val="57521214"/>
    <w:rsid w:val="576176AA"/>
    <w:rsid w:val="577675F9"/>
    <w:rsid w:val="578A4E52"/>
    <w:rsid w:val="57C57C38"/>
    <w:rsid w:val="58360B36"/>
    <w:rsid w:val="58B24661"/>
    <w:rsid w:val="58CB74D0"/>
    <w:rsid w:val="59527BF2"/>
    <w:rsid w:val="59594ADC"/>
    <w:rsid w:val="599C2C1B"/>
    <w:rsid w:val="59C75EEA"/>
    <w:rsid w:val="59FD190B"/>
    <w:rsid w:val="5B1708CA"/>
    <w:rsid w:val="5BCD1769"/>
    <w:rsid w:val="5C0A6562"/>
    <w:rsid w:val="5C1E5B2C"/>
    <w:rsid w:val="5C7F72A3"/>
    <w:rsid w:val="5C8C341B"/>
    <w:rsid w:val="5C98591B"/>
    <w:rsid w:val="5CB87D6C"/>
    <w:rsid w:val="5CDA4186"/>
    <w:rsid w:val="5CE62B2B"/>
    <w:rsid w:val="5CF76AE6"/>
    <w:rsid w:val="5D5A7075"/>
    <w:rsid w:val="5D651B36"/>
    <w:rsid w:val="5D79399F"/>
    <w:rsid w:val="5DBF1DAF"/>
    <w:rsid w:val="5DD12AEC"/>
    <w:rsid w:val="5DE30E18"/>
    <w:rsid w:val="5E280F21"/>
    <w:rsid w:val="5E56783C"/>
    <w:rsid w:val="5EB17168"/>
    <w:rsid w:val="5FEE499C"/>
    <w:rsid w:val="601C6864"/>
    <w:rsid w:val="60255718"/>
    <w:rsid w:val="62092E18"/>
    <w:rsid w:val="621A5025"/>
    <w:rsid w:val="62B47227"/>
    <w:rsid w:val="63035AB9"/>
    <w:rsid w:val="636B5B38"/>
    <w:rsid w:val="6417181C"/>
    <w:rsid w:val="644959AA"/>
    <w:rsid w:val="64B23F99"/>
    <w:rsid w:val="64EC2CA8"/>
    <w:rsid w:val="653B778C"/>
    <w:rsid w:val="65905D2A"/>
    <w:rsid w:val="65F31E15"/>
    <w:rsid w:val="66140709"/>
    <w:rsid w:val="66434B4A"/>
    <w:rsid w:val="665C267F"/>
    <w:rsid w:val="6692162D"/>
    <w:rsid w:val="669453A6"/>
    <w:rsid w:val="66B5531C"/>
    <w:rsid w:val="66DC6D4D"/>
    <w:rsid w:val="67236729"/>
    <w:rsid w:val="673646AF"/>
    <w:rsid w:val="674A63AC"/>
    <w:rsid w:val="67CE0D8B"/>
    <w:rsid w:val="68680898"/>
    <w:rsid w:val="686D4100"/>
    <w:rsid w:val="687A681D"/>
    <w:rsid w:val="68914293"/>
    <w:rsid w:val="689A2A1B"/>
    <w:rsid w:val="68A65864"/>
    <w:rsid w:val="68E85E7D"/>
    <w:rsid w:val="693C671A"/>
    <w:rsid w:val="694A61EF"/>
    <w:rsid w:val="69C53AC8"/>
    <w:rsid w:val="6A4B66C3"/>
    <w:rsid w:val="6A9811DC"/>
    <w:rsid w:val="6AED777A"/>
    <w:rsid w:val="6B064398"/>
    <w:rsid w:val="6B252A70"/>
    <w:rsid w:val="6B3E3B32"/>
    <w:rsid w:val="6B517D09"/>
    <w:rsid w:val="6B76151E"/>
    <w:rsid w:val="6B8401BB"/>
    <w:rsid w:val="6BCE3108"/>
    <w:rsid w:val="6C5D448C"/>
    <w:rsid w:val="6C615D2A"/>
    <w:rsid w:val="6CA45FB9"/>
    <w:rsid w:val="6CB87914"/>
    <w:rsid w:val="6CDC1854"/>
    <w:rsid w:val="6D2D20B0"/>
    <w:rsid w:val="6DEE5CE3"/>
    <w:rsid w:val="6E0D6AD9"/>
    <w:rsid w:val="6E1312A6"/>
    <w:rsid w:val="6E5D69C5"/>
    <w:rsid w:val="6E8757F0"/>
    <w:rsid w:val="6F190B3E"/>
    <w:rsid w:val="6FD44A65"/>
    <w:rsid w:val="6FDC26F4"/>
    <w:rsid w:val="706E310B"/>
    <w:rsid w:val="70B54896"/>
    <w:rsid w:val="70BA00FF"/>
    <w:rsid w:val="71080E6A"/>
    <w:rsid w:val="71467BE4"/>
    <w:rsid w:val="71AD31A9"/>
    <w:rsid w:val="72721ECF"/>
    <w:rsid w:val="727367B7"/>
    <w:rsid w:val="728D3C57"/>
    <w:rsid w:val="72916C3D"/>
    <w:rsid w:val="72A252EE"/>
    <w:rsid w:val="73614861"/>
    <w:rsid w:val="736D76AA"/>
    <w:rsid w:val="73796CBD"/>
    <w:rsid w:val="73830C7C"/>
    <w:rsid w:val="73DB143A"/>
    <w:rsid w:val="73E6120B"/>
    <w:rsid w:val="740B2A1F"/>
    <w:rsid w:val="74650381"/>
    <w:rsid w:val="74844CAB"/>
    <w:rsid w:val="74A569D0"/>
    <w:rsid w:val="74B763DB"/>
    <w:rsid w:val="74D6127F"/>
    <w:rsid w:val="75120509"/>
    <w:rsid w:val="759E1D9D"/>
    <w:rsid w:val="770B3462"/>
    <w:rsid w:val="770E2F52"/>
    <w:rsid w:val="771A5453"/>
    <w:rsid w:val="77244524"/>
    <w:rsid w:val="77530965"/>
    <w:rsid w:val="778C3E77"/>
    <w:rsid w:val="78485FF0"/>
    <w:rsid w:val="78544995"/>
    <w:rsid w:val="786F4239"/>
    <w:rsid w:val="78911745"/>
    <w:rsid w:val="78C7160B"/>
    <w:rsid w:val="78CD4747"/>
    <w:rsid w:val="78DA7590"/>
    <w:rsid w:val="78F148D9"/>
    <w:rsid w:val="791B3704"/>
    <w:rsid w:val="79273E57"/>
    <w:rsid w:val="795B7FA5"/>
    <w:rsid w:val="79BF6786"/>
    <w:rsid w:val="7A7C01D3"/>
    <w:rsid w:val="7AEF6BF7"/>
    <w:rsid w:val="7B087CB8"/>
    <w:rsid w:val="7B820ADB"/>
    <w:rsid w:val="7BA93249"/>
    <w:rsid w:val="7BC2430B"/>
    <w:rsid w:val="7C06069C"/>
    <w:rsid w:val="7C2A32C5"/>
    <w:rsid w:val="7C2D79D7"/>
    <w:rsid w:val="7C6D24C9"/>
    <w:rsid w:val="7C95557C"/>
    <w:rsid w:val="7CD442F6"/>
    <w:rsid w:val="7D1666BD"/>
    <w:rsid w:val="7D1B3CD3"/>
    <w:rsid w:val="7D4A47B2"/>
    <w:rsid w:val="7DB52379"/>
    <w:rsid w:val="7DBD122E"/>
    <w:rsid w:val="7DCF1BFE"/>
    <w:rsid w:val="7DD24CD9"/>
    <w:rsid w:val="7DF12C86"/>
    <w:rsid w:val="7E355268"/>
    <w:rsid w:val="7E3A63DB"/>
    <w:rsid w:val="7E3E411D"/>
    <w:rsid w:val="7EEF71C5"/>
    <w:rsid w:val="7F40317B"/>
    <w:rsid w:val="7F761695"/>
    <w:rsid w:val="7F954211"/>
    <w:rsid w:val="7FE707E4"/>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Ascii" w:hAnsiTheme="minorAscii" w:cstheme="minorBidi"/>
      <w:kern w:val="2"/>
      <w:sz w:val="28"/>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heme="minorAscii" w:hAnsiTheme="minorAscii"/>
      <w:b/>
      <w:kern w:val="44"/>
      <w:sz w:val="36"/>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10081</Words>
  <Characters>10518</Characters>
  <Lines>0</Lines>
  <Paragraphs>0</Paragraphs>
  <TotalTime>1</TotalTime>
  <ScaleCrop>false</ScaleCrop>
  <LinksUpToDate>false</LinksUpToDate>
  <CharactersWithSpaces>10684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2025-08-18T07:44:00Z</dcterms:created>
  <dc:creator>袁悦</dc:creator>
  <cp:lastModifiedBy>袁悦</cp:lastModifiedBy>
  <dcterms:modified xsi:type="dcterms:W3CDTF">2025-10-17T06:57:46Z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D5D5BA8A6F244B7F9D86CF19ED11D4AF_13</vt:lpwstr>
  </property>
  <property fmtid="{D5CDD505-2E9C-101B-9397-08002B2CF9AE}" pid="4" name="KSOTemplateDocerSaveRecord">
    <vt:lpwstr>eyJoZGlkIjoiYmEyZDMxNWRkYmY5MjE3NjUxYTk3ZDA1NDUyNmVkYWEiLCJ1c2VySWQiOiIxMjY5MzI0MzM4In0=</vt:lpwstr>
  </property>
</Properties>
</file>